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1AB" w:rsidRPr="00E461AB" w:rsidRDefault="00E461AB" w:rsidP="00E461A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E461AB">
        <w:rPr>
          <w:rFonts w:cs="Times New Roman"/>
          <w:b/>
          <w:bCs/>
          <w:szCs w:val="24"/>
        </w:rPr>
        <w:t>2020. évi LXXVI. törvény</w:t>
      </w:r>
    </w:p>
    <w:p w:rsidR="00E461AB" w:rsidRPr="00E461AB" w:rsidRDefault="00E461AB" w:rsidP="00E461AB">
      <w:pPr>
        <w:spacing w:after="60"/>
        <w:jc w:val="center"/>
        <w:rPr>
          <w:rFonts w:cs="Times New Roman"/>
          <w:b/>
          <w:bCs/>
          <w:szCs w:val="24"/>
        </w:rPr>
      </w:pPr>
      <w:r w:rsidRPr="00E461AB">
        <w:rPr>
          <w:rFonts w:cs="Times New Roman"/>
          <w:b/>
          <w:bCs/>
          <w:szCs w:val="24"/>
        </w:rPr>
        <w:t>Magyarország 2021. évi központi költségvetésének megalapozásáról</w:t>
      </w:r>
    </w:p>
    <w:p w:rsidR="00E461AB" w:rsidRPr="00E461AB" w:rsidRDefault="00E461AB" w:rsidP="00E461AB">
      <w:pPr>
        <w:spacing w:after="60"/>
        <w:rPr>
          <w:rFonts w:cs="Times New Roman"/>
          <w:szCs w:val="24"/>
        </w:rPr>
      </w:pP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b/>
          <w:bCs/>
          <w:szCs w:val="24"/>
        </w:rPr>
      </w:pPr>
      <w:r w:rsidRPr="00E461AB">
        <w:rPr>
          <w:rFonts w:cs="Times New Roman"/>
          <w:b/>
          <w:bCs/>
          <w:szCs w:val="24"/>
        </w:rPr>
        <w:t>14. A kereskedelemről szóló 2005. évi CLXIV. törvény módosítása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b/>
          <w:bCs/>
          <w:szCs w:val="24"/>
        </w:rPr>
        <w:t xml:space="preserve">37. § </w:t>
      </w:r>
      <w:r w:rsidRPr="00E461AB">
        <w:rPr>
          <w:rFonts w:cs="Times New Roman"/>
          <w:szCs w:val="24"/>
        </w:rPr>
        <w:t>A kereskedelemről szóló 2005. évi CLXIV. törvény 2. § 22. pontja helyébe a következő rendelkezés lép: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i/>
          <w:iCs/>
          <w:szCs w:val="24"/>
        </w:rPr>
      </w:pPr>
      <w:r w:rsidRPr="00E461AB">
        <w:rPr>
          <w:rFonts w:cs="Times New Roman"/>
          <w:i/>
          <w:iCs/>
          <w:szCs w:val="24"/>
        </w:rPr>
        <w:t>(E törvény alkalmazásában:)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szCs w:val="24"/>
        </w:rPr>
        <w:t xml:space="preserve">„22. </w:t>
      </w:r>
      <w:r w:rsidRPr="00E461AB">
        <w:rPr>
          <w:rFonts w:cs="Times New Roman"/>
          <w:i/>
          <w:iCs/>
          <w:szCs w:val="24"/>
        </w:rPr>
        <w:t xml:space="preserve">szálláshely: </w:t>
      </w:r>
      <w:r w:rsidRPr="00E461AB">
        <w:rPr>
          <w:rFonts w:cs="Times New Roman"/>
          <w:szCs w:val="24"/>
        </w:rPr>
        <w:t>szálláshely-szolgáltatás folytatása céljából létesített vagy használt épület, önálló rendeltetési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szCs w:val="24"/>
        </w:rPr>
        <w:t>egységet képező épületrész vagy terület, valamint szálláshely-szolgáltatás folytatás</w:t>
      </w:r>
      <w:r>
        <w:rPr>
          <w:rFonts w:cs="Times New Roman"/>
          <w:szCs w:val="24"/>
        </w:rPr>
        <w:t xml:space="preserve">a céljából, bérbeadás keretében </w:t>
      </w:r>
      <w:r w:rsidRPr="00E461AB">
        <w:rPr>
          <w:rFonts w:cs="Times New Roman"/>
          <w:szCs w:val="24"/>
        </w:rPr>
        <w:t>hasznosított, a víziközlekedésről szóló 2000. évi XLII. törvény 87. § 29a. pontja szerinti nyaralóhajó,”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b/>
          <w:bCs/>
          <w:szCs w:val="24"/>
        </w:rPr>
        <w:t xml:space="preserve">38. § </w:t>
      </w:r>
      <w:r w:rsidRPr="00E461AB">
        <w:rPr>
          <w:rFonts w:cs="Times New Roman"/>
          <w:szCs w:val="24"/>
        </w:rPr>
        <w:t>A kereskedelemről szóló 2005. évi CLXIV. törvény „A kereskedelmi tevékenységek folytatásának egyéb feltételei”</w:t>
      </w:r>
      <w:r>
        <w:rPr>
          <w:rFonts w:cs="Times New Roman"/>
          <w:szCs w:val="24"/>
        </w:rPr>
        <w:t xml:space="preserve"> </w:t>
      </w:r>
      <w:r w:rsidRPr="00E461AB">
        <w:rPr>
          <w:rFonts w:cs="Times New Roman"/>
          <w:szCs w:val="24"/>
        </w:rPr>
        <w:t>című alcíme a következő 5/F. §-</w:t>
      </w:r>
      <w:proofErr w:type="spellStart"/>
      <w:r w:rsidRPr="00E461AB">
        <w:rPr>
          <w:rFonts w:cs="Times New Roman"/>
          <w:szCs w:val="24"/>
        </w:rPr>
        <w:t>sal</w:t>
      </w:r>
      <w:proofErr w:type="spellEnd"/>
      <w:r w:rsidRPr="00E461AB">
        <w:rPr>
          <w:rFonts w:cs="Times New Roman"/>
          <w:szCs w:val="24"/>
        </w:rPr>
        <w:t xml:space="preserve"> egészül ki: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b/>
          <w:szCs w:val="24"/>
        </w:rPr>
      </w:pPr>
      <w:r w:rsidRPr="00E461AB">
        <w:rPr>
          <w:rFonts w:cs="Times New Roman"/>
          <w:b/>
          <w:szCs w:val="24"/>
        </w:rPr>
        <w:t>„5/F. § A pénztárgépek műszaki követelményeiről, a nyugtakibocsátásra szolgáló pénztárgépek forgalmazásáról, használatáról és szervizeléséről, valamint a pénztárgéppel rögzített adatok adóhatóság felé történő szolgáltatásáról szóló 48/2013. (XI. 15.) NGM rendelet 1. §-a szerinti kereskedő köteles biztosítani a fogyasztó számára az elektronikus fizetés lehetőségét és annak folyamatos rendelkezésre állását.”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b/>
          <w:bCs/>
          <w:szCs w:val="24"/>
        </w:rPr>
        <w:t xml:space="preserve">39. § </w:t>
      </w:r>
      <w:r w:rsidRPr="00E461AB">
        <w:rPr>
          <w:rFonts w:cs="Times New Roman"/>
          <w:szCs w:val="24"/>
        </w:rPr>
        <w:t>A kereskedelemről szóló 2005. évi CLXIV. törvény „A jelentős piaci erővel rendelkező</w:t>
      </w:r>
      <w:r>
        <w:rPr>
          <w:rFonts w:cs="Times New Roman"/>
          <w:szCs w:val="24"/>
        </w:rPr>
        <w:t xml:space="preserve"> vállalkozásokra vonatkozó </w:t>
      </w:r>
      <w:r w:rsidRPr="00E461AB">
        <w:rPr>
          <w:rFonts w:cs="Times New Roman"/>
          <w:szCs w:val="24"/>
        </w:rPr>
        <w:t>szabályozás” alcíme a következő 7/B. §-</w:t>
      </w:r>
      <w:proofErr w:type="spellStart"/>
      <w:r w:rsidRPr="00E461AB">
        <w:rPr>
          <w:rFonts w:cs="Times New Roman"/>
          <w:szCs w:val="24"/>
        </w:rPr>
        <w:t>sal</w:t>
      </w:r>
      <w:proofErr w:type="spellEnd"/>
      <w:r w:rsidRPr="00E461AB">
        <w:rPr>
          <w:rFonts w:cs="Times New Roman"/>
          <w:szCs w:val="24"/>
        </w:rPr>
        <w:t xml:space="preserve"> egészül ki: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szCs w:val="24"/>
        </w:rPr>
        <w:t xml:space="preserve">„7/B. § (1) A jövedéki adóról szóló 2016. évi LXVIII. törvény (a továbbiakban: </w:t>
      </w:r>
      <w:proofErr w:type="spellStart"/>
      <w:r w:rsidRPr="00E461AB">
        <w:rPr>
          <w:rFonts w:cs="Times New Roman"/>
          <w:szCs w:val="24"/>
        </w:rPr>
        <w:t>Jöt</w:t>
      </w:r>
      <w:proofErr w:type="spellEnd"/>
      <w:r w:rsidRPr="00E461AB">
        <w:rPr>
          <w:rFonts w:cs="Times New Roman"/>
          <w:szCs w:val="24"/>
        </w:rPr>
        <w:t>.) szerinti sör, a népeg</w:t>
      </w:r>
      <w:r>
        <w:rPr>
          <w:rFonts w:cs="Times New Roman"/>
          <w:szCs w:val="24"/>
        </w:rPr>
        <w:t xml:space="preserve">észségügyi </w:t>
      </w:r>
      <w:r w:rsidRPr="00E461AB">
        <w:rPr>
          <w:rFonts w:cs="Times New Roman"/>
          <w:szCs w:val="24"/>
        </w:rPr>
        <w:t>termékadóról szóló 2011. évi CIII. törvény szerinti üdítőital, a természetes ásványvíz</w:t>
      </w:r>
      <w:r>
        <w:rPr>
          <w:rFonts w:cs="Times New Roman"/>
          <w:szCs w:val="24"/>
        </w:rPr>
        <w:t xml:space="preserve"> értékesítésével összefüggésben </w:t>
      </w:r>
      <w:r w:rsidRPr="00E461AB">
        <w:rPr>
          <w:rFonts w:cs="Times New Roman"/>
          <w:szCs w:val="24"/>
        </w:rPr>
        <w:t>nem tehető olyan jognyilatkozat, vagy nem köthető olyan szerződés, amely alapján vendéglátó üzlet –</w:t>
      </w:r>
      <w:r>
        <w:rPr>
          <w:rFonts w:cs="Times New Roman"/>
          <w:szCs w:val="24"/>
        </w:rPr>
        <w:t xml:space="preserve"> ideértve </w:t>
      </w:r>
      <w:r w:rsidRPr="00E461AB">
        <w:rPr>
          <w:rFonts w:cs="Times New Roman"/>
          <w:szCs w:val="24"/>
        </w:rPr>
        <w:t>az alkalmi rendezvényen való értékesítést is – vagy szálláshely (a továbbiakban</w:t>
      </w:r>
      <w:r>
        <w:rPr>
          <w:rFonts w:cs="Times New Roman"/>
          <w:szCs w:val="24"/>
        </w:rPr>
        <w:t xml:space="preserve"> e § alkalmazásában együttesen: </w:t>
      </w:r>
      <w:r w:rsidRPr="00E461AB">
        <w:rPr>
          <w:rFonts w:cs="Times New Roman"/>
          <w:szCs w:val="24"/>
        </w:rPr>
        <w:t xml:space="preserve">italt árusító vendéglátó üzlet) a vertikális megállapodások egyes csoportjainak a </w:t>
      </w:r>
      <w:r>
        <w:rPr>
          <w:rFonts w:cs="Times New Roman"/>
          <w:szCs w:val="24"/>
        </w:rPr>
        <w:t xml:space="preserve">versenykorlátozás tilalma alóli </w:t>
      </w:r>
      <w:r w:rsidRPr="00E461AB">
        <w:rPr>
          <w:rFonts w:cs="Times New Roman"/>
          <w:szCs w:val="24"/>
        </w:rPr>
        <w:t>mentesítéséről szóló 205/2011. (X. 7.) Korm. rendelet 1. § 10. pontja szerinti versenyti</w:t>
      </w:r>
      <w:r>
        <w:rPr>
          <w:rFonts w:cs="Times New Roman"/>
          <w:szCs w:val="24"/>
        </w:rPr>
        <w:t xml:space="preserve">lalmi kötelezettség vállalására </w:t>
      </w:r>
      <w:r w:rsidRPr="00E461AB">
        <w:rPr>
          <w:rFonts w:cs="Times New Roman"/>
          <w:szCs w:val="24"/>
        </w:rPr>
        <w:t>köteles.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szCs w:val="24"/>
        </w:rPr>
        <w:t>(2) Az italt árusító vendéglátó üzlet köteles az (1) bekezdés szerinti sör – kivéve csapon értékesített sör –, üdítőital</w:t>
      </w:r>
      <w:r>
        <w:rPr>
          <w:rFonts w:cs="Times New Roman"/>
          <w:szCs w:val="24"/>
        </w:rPr>
        <w:t xml:space="preserve"> </w:t>
      </w:r>
      <w:r w:rsidRPr="00E461AB">
        <w:rPr>
          <w:rFonts w:cs="Times New Roman"/>
          <w:szCs w:val="24"/>
        </w:rPr>
        <w:t>és természetes ásványvíz értékesítése esetén terméktípusonként legalább két különböző</w:t>
      </w:r>
      <w:r>
        <w:rPr>
          <w:rFonts w:cs="Times New Roman"/>
          <w:szCs w:val="24"/>
        </w:rPr>
        <w:t xml:space="preserve"> gyártó termékeinek </w:t>
      </w:r>
      <w:r w:rsidRPr="00E461AB">
        <w:rPr>
          <w:rFonts w:cs="Times New Roman"/>
          <w:szCs w:val="24"/>
        </w:rPr>
        <w:t>értékesítését biztosítani.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szCs w:val="24"/>
        </w:rPr>
        <w:t>(3) Az (1) bekezdéstől eltérően sör csapon történő értékesítése esetén verseny</w:t>
      </w:r>
      <w:r>
        <w:rPr>
          <w:rFonts w:cs="Times New Roman"/>
          <w:szCs w:val="24"/>
        </w:rPr>
        <w:t xml:space="preserve">tilalmi megállapodás csak abban </w:t>
      </w:r>
      <w:r w:rsidRPr="00E461AB">
        <w:rPr>
          <w:rFonts w:cs="Times New Roman"/>
          <w:szCs w:val="24"/>
        </w:rPr>
        <w:t xml:space="preserve">az esetben köthető, ha az italt árusító vendéglátó üzlet biztosítja legalább egy </w:t>
      </w:r>
      <w:r>
        <w:rPr>
          <w:rFonts w:cs="Times New Roman"/>
          <w:szCs w:val="24"/>
        </w:rPr>
        <w:t xml:space="preserve">olyan, a </w:t>
      </w:r>
      <w:proofErr w:type="spellStart"/>
      <w:r>
        <w:rPr>
          <w:rFonts w:cs="Times New Roman"/>
          <w:szCs w:val="24"/>
        </w:rPr>
        <w:t>Jöt</w:t>
      </w:r>
      <w:proofErr w:type="spellEnd"/>
      <w:r>
        <w:rPr>
          <w:rFonts w:cs="Times New Roman"/>
          <w:szCs w:val="24"/>
        </w:rPr>
        <w:t xml:space="preserve">. szerinti kisüzemi </w:t>
      </w:r>
      <w:r w:rsidRPr="00E461AB">
        <w:rPr>
          <w:rFonts w:cs="Times New Roman"/>
          <w:szCs w:val="24"/>
        </w:rPr>
        <w:t>sörfőzde (gyártó) által előállított sör csapon történő folyamatos értékesítését, amely kisüzemi sörfő</w:t>
      </w:r>
      <w:r>
        <w:rPr>
          <w:rFonts w:cs="Times New Roman"/>
          <w:szCs w:val="24"/>
        </w:rPr>
        <w:t xml:space="preserve">zde felett </w:t>
      </w:r>
      <w:r w:rsidRPr="00E461AB">
        <w:rPr>
          <w:rFonts w:cs="Times New Roman"/>
          <w:szCs w:val="24"/>
        </w:rPr>
        <w:t>kisüzemi sörfőzdének nem minősülő sörgyártó a tisztességtelen piaci magatartás és a versenykorlátozá</w:t>
      </w:r>
      <w:r>
        <w:rPr>
          <w:rFonts w:cs="Times New Roman"/>
          <w:szCs w:val="24"/>
        </w:rPr>
        <w:t xml:space="preserve">s tilalmáról </w:t>
      </w:r>
      <w:r w:rsidRPr="00E461AB">
        <w:rPr>
          <w:rFonts w:cs="Times New Roman"/>
          <w:szCs w:val="24"/>
        </w:rPr>
        <w:t>szóló 1996. évi LVII. törvény szerinti közvetlen vagy közvetett irányítással nem rendelkezik.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szCs w:val="24"/>
        </w:rPr>
        <w:t>(4) A (3) bekezdés alapján eljáró italt árusító vendéglátó üzlet a kisüzemi sörfőzde által előállított sör csapon történő</w:t>
      </w:r>
      <w:r>
        <w:rPr>
          <w:rFonts w:cs="Times New Roman"/>
          <w:szCs w:val="24"/>
        </w:rPr>
        <w:t xml:space="preserve"> </w:t>
      </w:r>
      <w:r w:rsidRPr="00E461AB">
        <w:rPr>
          <w:rFonts w:cs="Times New Roman"/>
          <w:szCs w:val="24"/>
        </w:rPr>
        <w:t>folyamatos értékesítését oly módon biztosítja, hogy az így értékesítésre kerülő, kisüzemi sörfőzde által elő</w:t>
      </w:r>
      <w:r>
        <w:rPr>
          <w:rFonts w:cs="Times New Roman"/>
          <w:szCs w:val="24"/>
        </w:rPr>
        <w:t xml:space="preserve">állított </w:t>
      </w:r>
      <w:r w:rsidRPr="00E461AB">
        <w:rPr>
          <w:rFonts w:cs="Times New Roman"/>
          <w:szCs w:val="24"/>
        </w:rPr>
        <w:t>sör az italt árusító vendéglátó üzlet által tárgyévben vagy alkalmi rendezvényen, csapon értékesítésre kerülő</w:t>
      </w:r>
      <w:r>
        <w:rPr>
          <w:rFonts w:cs="Times New Roman"/>
          <w:szCs w:val="24"/>
        </w:rPr>
        <w:t xml:space="preserve"> </w:t>
      </w:r>
      <w:r w:rsidRPr="00E461AB">
        <w:rPr>
          <w:rFonts w:cs="Times New Roman"/>
          <w:szCs w:val="24"/>
        </w:rPr>
        <w:t>összes sörmennyiség legalább 20%-át elérje, vagy legalább a kisüzemi sörfőzdének nem minősülő</w:t>
      </w:r>
      <w:r>
        <w:rPr>
          <w:rFonts w:cs="Times New Roman"/>
          <w:szCs w:val="24"/>
        </w:rPr>
        <w:t xml:space="preserve"> sörgyártó által </w:t>
      </w:r>
      <w:r w:rsidRPr="00E461AB">
        <w:rPr>
          <w:rFonts w:cs="Times New Roman"/>
          <w:szCs w:val="24"/>
        </w:rPr>
        <w:t>gyártott sör kereskedelmi, reklámozási vagy egyéb forgalmazási feltételeinél összességében kedvező</w:t>
      </w:r>
      <w:r>
        <w:rPr>
          <w:rFonts w:cs="Times New Roman"/>
          <w:szCs w:val="24"/>
        </w:rPr>
        <w:t xml:space="preserve">bb feltételek </w:t>
      </w:r>
      <w:r w:rsidRPr="00E461AB">
        <w:rPr>
          <w:rFonts w:cs="Times New Roman"/>
          <w:szCs w:val="24"/>
        </w:rPr>
        <w:t>biztosításával reálisan elérhesse.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szCs w:val="24"/>
        </w:rPr>
        <w:t>(5) Az (1) bekezdésben meghatározott tilalom nem érinti az olyan szerződé</w:t>
      </w:r>
      <w:r>
        <w:rPr>
          <w:rFonts w:cs="Times New Roman"/>
          <w:szCs w:val="24"/>
        </w:rPr>
        <w:t xml:space="preserve">st vagy jognyilatkozatot, amely </w:t>
      </w:r>
      <w:r w:rsidRPr="00E461AB">
        <w:rPr>
          <w:rFonts w:cs="Times New Roman"/>
          <w:szCs w:val="24"/>
        </w:rPr>
        <w:t xml:space="preserve">az (1) bekezdésben meghatározott sör, üdítőital vagy természetes </w:t>
      </w:r>
      <w:r w:rsidRPr="00E461AB">
        <w:rPr>
          <w:rFonts w:cs="Times New Roman"/>
          <w:szCs w:val="24"/>
        </w:rPr>
        <w:lastRenderedPageBreak/>
        <w:t>ásványvíz</w:t>
      </w:r>
      <w:r>
        <w:rPr>
          <w:rFonts w:cs="Times New Roman"/>
          <w:szCs w:val="24"/>
        </w:rPr>
        <w:t xml:space="preserve"> gyártójának kiemelt reklámcélú </w:t>
      </w:r>
      <w:r w:rsidRPr="00E461AB">
        <w:rPr>
          <w:rFonts w:cs="Times New Roman"/>
          <w:szCs w:val="24"/>
        </w:rPr>
        <w:t>megjelenítését célozza, és e § rendelkezéseit nem sérti.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szCs w:val="24"/>
        </w:rPr>
        <w:t>(6) Az (1)–(5) bekezdésbe ütköző szerződés vagy jognyilatkozat semmis.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szCs w:val="24"/>
        </w:rPr>
        <w:t>(7) Az (1) bekezdésben meghatározott szerződésre vagy jognyilatkozatra a t</w:t>
      </w:r>
      <w:r>
        <w:rPr>
          <w:rFonts w:cs="Times New Roman"/>
          <w:szCs w:val="24"/>
        </w:rPr>
        <w:t xml:space="preserve">isztességtelen piaci magatartás </w:t>
      </w:r>
      <w:r w:rsidRPr="00E461AB">
        <w:rPr>
          <w:rFonts w:cs="Times New Roman"/>
          <w:szCs w:val="24"/>
        </w:rPr>
        <w:t>és a versenykorlátozás tilalmáról szóló 1996. évi LVII. törvény 13. § (</w:t>
      </w:r>
      <w:proofErr w:type="gramStart"/>
      <w:r w:rsidRPr="00E461AB">
        <w:rPr>
          <w:rFonts w:cs="Times New Roman"/>
          <w:szCs w:val="24"/>
        </w:rPr>
        <w:t>1)–</w:t>
      </w:r>
      <w:proofErr w:type="gramEnd"/>
      <w:r w:rsidRPr="00E461AB">
        <w:rPr>
          <w:rFonts w:cs="Times New Roman"/>
          <w:szCs w:val="24"/>
        </w:rPr>
        <w:t>(3) b</w:t>
      </w:r>
      <w:r>
        <w:rPr>
          <w:rFonts w:cs="Times New Roman"/>
          <w:szCs w:val="24"/>
        </w:rPr>
        <w:t xml:space="preserve">ekezdése, valamint a vertikális </w:t>
      </w:r>
      <w:r w:rsidRPr="00E461AB">
        <w:rPr>
          <w:rFonts w:cs="Times New Roman"/>
          <w:szCs w:val="24"/>
        </w:rPr>
        <w:t>megállapodások egyes csoportjainak a versenykorlátozás tilalma alóli mentesítéséről szóló 205/2011. (X. 7.)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szCs w:val="24"/>
        </w:rPr>
        <w:t>Korm. rendelet 2–8. §-a nem alkalmazható.”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b/>
          <w:bCs/>
          <w:szCs w:val="24"/>
        </w:rPr>
        <w:t xml:space="preserve">40. § </w:t>
      </w:r>
      <w:r w:rsidRPr="00E461AB">
        <w:rPr>
          <w:rFonts w:cs="Times New Roman"/>
          <w:szCs w:val="24"/>
        </w:rPr>
        <w:t xml:space="preserve">A kereskedelemről szóló 2005. évi CLXIV. törvény 9. §-a </w:t>
      </w:r>
      <w:proofErr w:type="spellStart"/>
      <w:r w:rsidRPr="00E461AB">
        <w:rPr>
          <w:rFonts w:cs="Times New Roman"/>
          <w:szCs w:val="24"/>
        </w:rPr>
        <w:t>a</w:t>
      </w:r>
      <w:proofErr w:type="spellEnd"/>
      <w:r w:rsidRPr="00E461AB">
        <w:rPr>
          <w:rFonts w:cs="Times New Roman"/>
          <w:szCs w:val="24"/>
        </w:rPr>
        <w:t xml:space="preserve"> következő (3a) és (3b) bekezdéssel egészül ki: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szCs w:val="24"/>
        </w:rPr>
        <w:t>„(3a) A 7/B. § megsértése miatt a Gazdasági Versenyhivatal jár el versenyfelügyeleti eljá</w:t>
      </w:r>
      <w:r>
        <w:rPr>
          <w:rFonts w:cs="Times New Roman"/>
          <w:szCs w:val="24"/>
        </w:rPr>
        <w:t xml:space="preserve">rásban, a tisztességtelen piaci </w:t>
      </w:r>
      <w:r w:rsidRPr="00E461AB">
        <w:rPr>
          <w:rFonts w:cs="Times New Roman"/>
          <w:szCs w:val="24"/>
        </w:rPr>
        <w:t>magatartás és a versenykorlátozás tilalmáról szóló 1996. évi LVII. törvény megsértés</w:t>
      </w:r>
      <w:r>
        <w:rPr>
          <w:rFonts w:cs="Times New Roman"/>
          <w:szCs w:val="24"/>
        </w:rPr>
        <w:t xml:space="preserve">e esetén irányadó rendelkezések </w:t>
      </w:r>
      <w:r w:rsidRPr="00E461AB">
        <w:rPr>
          <w:rFonts w:cs="Times New Roman"/>
          <w:szCs w:val="24"/>
        </w:rPr>
        <w:t>szerint azzal, hogy a tisztességtelen piaci magatartás és a versenykorlátozás tilalmáról szóló 1996. évi LVII. törvény</w:t>
      </w:r>
    </w:p>
    <w:p w:rsidR="00685D54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szCs w:val="24"/>
        </w:rPr>
        <w:t>11. §-</w:t>
      </w:r>
      <w:proofErr w:type="spellStart"/>
      <w:r w:rsidRPr="00E461AB">
        <w:rPr>
          <w:rFonts w:cs="Times New Roman"/>
          <w:szCs w:val="24"/>
        </w:rPr>
        <w:t>ának</w:t>
      </w:r>
      <w:proofErr w:type="spellEnd"/>
      <w:r w:rsidRPr="00E461AB">
        <w:rPr>
          <w:rFonts w:cs="Times New Roman"/>
          <w:szCs w:val="24"/>
        </w:rPr>
        <w:t xml:space="preserve"> vizsgálata során a vertikális megállapodások egyes csoportjainak a </w:t>
      </w:r>
      <w:r>
        <w:rPr>
          <w:rFonts w:cs="Times New Roman"/>
          <w:szCs w:val="24"/>
        </w:rPr>
        <w:t xml:space="preserve">versenykorlátozás tilalma alóli </w:t>
      </w:r>
      <w:r w:rsidRPr="00E461AB">
        <w:rPr>
          <w:rFonts w:cs="Times New Roman"/>
          <w:szCs w:val="24"/>
        </w:rPr>
        <w:t>mentesítéséről szóló 205/2011. (X. 7.) Korm. rendelet 7. §-át is figyelembe kell venni.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szCs w:val="24"/>
        </w:rPr>
        <w:t>(3b) A (3a) bekezdés szerinti versenyfelügyeleti eljárásban a Gazdasági Versenyhivatal a 7/B. §-t akkor alkalmazza,</w:t>
      </w:r>
      <w:r>
        <w:rPr>
          <w:rFonts w:cs="Times New Roman"/>
          <w:szCs w:val="24"/>
        </w:rPr>
        <w:t xml:space="preserve"> </w:t>
      </w:r>
      <w:r w:rsidRPr="00E461AB">
        <w:rPr>
          <w:rFonts w:cs="Times New Roman"/>
          <w:szCs w:val="24"/>
        </w:rPr>
        <w:t>ha az Európai Unió működéséről szóló szerződés 101. cikke alkalmazásának szükségességét a Szerződés 81. és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szCs w:val="24"/>
        </w:rPr>
        <w:t>82. cikkében meghatározott versenyszabályok végrehajtásáról szóló, 2002. december 16-i 1/2003/EK tanácsi</w:t>
      </w:r>
      <w:r>
        <w:rPr>
          <w:rFonts w:cs="Times New Roman"/>
          <w:szCs w:val="24"/>
        </w:rPr>
        <w:t xml:space="preserve"> </w:t>
      </w:r>
      <w:r w:rsidRPr="00E461AB">
        <w:rPr>
          <w:rFonts w:cs="Times New Roman"/>
          <w:szCs w:val="24"/>
        </w:rPr>
        <w:t>rendelet 3. cikk (1) bekezdése alapján nem állapítja meg.”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b/>
          <w:szCs w:val="24"/>
        </w:rPr>
      </w:pPr>
      <w:r w:rsidRPr="00E461AB">
        <w:rPr>
          <w:rFonts w:cs="Times New Roman"/>
          <w:b/>
          <w:szCs w:val="24"/>
        </w:rPr>
        <w:t>41. § A kereskedelemről szóló 2005. évi CLXIV. törvény a következő 11/D. §-</w:t>
      </w:r>
      <w:proofErr w:type="spellStart"/>
      <w:r w:rsidRPr="00E461AB">
        <w:rPr>
          <w:rFonts w:cs="Times New Roman"/>
          <w:b/>
          <w:szCs w:val="24"/>
        </w:rPr>
        <w:t>sal</w:t>
      </w:r>
      <w:proofErr w:type="spellEnd"/>
      <w:r w:rsidRPr="00E461AB">
        <w:rPr>
          <w:rFonts w:cs="Times New Roman"/>
          <w:b/>
          <w:szCs w:val="24"/>
        </w:rPr>
        <w:t xml:space="preserve"> egészül ki: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szCs w:val="24"/>
        </w:rPr>
      </w:pPr>
      <w:r w:rsidRPr="00E461AB">
        <w:rPr>
          <w:rFonts w:cs="Times New Roman"/>
          <w:szCs w:val="24"/>
        </w:rPr>
        <w:t xml:space="preserve">„11/D. § (1) A Magyarország 2021. évi központi költségvetésének megalapozásáról szóló 2020. </w:t>
      </w:r>
      <w:r>
        <w:rPr>
          <w:rFonts w:cs="Times New Roman"/>
          <w:szCs w:val="24"/>
        </w:rPr>
        <w:t>é</w:t>
      </w:r>
      <w:r w:rsidRPr="00E461AB">
        <w:rPr>
          <w:rFonts w:cs="Times New Roman"/>
          <w:szCs w:val="24"/>
        </w:rPr>
        <w:t>vi</w:t>
      </w:r>
      <w:r>
        <w:rPr>
          <w:rFonts w:cs="Times New Roman"/>
          <w:szCs w:val="24"/>
        </w:rPr>
        <w:t xml:space="preserve"> </w:t>
      </w:r>
      <w:r w:rsidRPr="00E461AB">
        <w:rPr>
          <w:rFonts w:cs="Times New Roman"/>
          <w:szCs w:val="24"/>
        </w:rPr>
        <w:t xml:space="preserve">LXXVI. törvény (a továbbiakban: 2020. évi LXXVI. törvény) hatálybalépését megelőzően megkötött, a </w:t>
      </w:r>
      <w:r w:rsidRPr="00E461AB">
        <w:rPr>
          <w:rFonts w:cs="Times New Roman"/>
          <w:b/>
          <w:szCs w:val="24"/>
        </w:rPr>
        <w:t>7/B. § (1) és (</w:t>
      </w:r>
      <w:proofErr w:type="gramStart"/>
      <w:r w:rsidRPr="00E461AB">
        <w:rPr>
          <w:rFonts w:cs="Times New Roman"/>
          <w:b/>
          <w:szCs w:val="24"/>
        </w:rPr>
        <w:t>3)–</w:t>
      </w:r>
      <w:proofErr w:type="gramEnd"/>
      <w:r w:rsidRPr="00E461AB">
        <w:rPr>
          <w:rFonts w:cs="Times New Roman"/>
          <w:b/>
          <w:szCs w:val="24"/>
        </w:rPr>
        <w:t>(5) bekezdésébe ütköző szerződések vagy jognyilatkozatok 2021. augusztus 1-jén hatályukat vesztik</w:t>
      </w:r>
      <w:r w:rsidRPr="00E461AB">
        <w:rPr>
          <w:rFonts w:cs="Times New Roman"/>
          <w:szCs w:val="24"/>
        </w:rPr>
        <w:t xml:space="preserve">. A 2020. </w:t>
      </w:r>
      <w:r>
        <w:rPr>
          <w:rFonts w:cs="Times New Roman"/>
          <w:szCs w:val="24"/>
        </w:rPr>
        <w:t>é</w:t>
      </w:r>
      <w:r w:rsidRPr="00E461AB">
        <w:rPr>
          <w:rFonts w:cs="Times New Roman"/>
          <w:szCs w:val="24"/>
        </w:rPr>
        <w:t>vi</w:t>
      </w:r>
      <w:r>
        <w:rPr>
          <w:rFonts w:cs="Times New Roman"/>
          <w:szCs w:val="24"/>
        </w:rPr>
        <w:t xml:space="preserve"> </w:t>
      </w:r>
      <w:r w:rsidRPr="00E461AB">
        <w:rPr>
          <w:rFonts w:cs="Times New Roman"/>
          <w:szCs w:val="24"/>
        </w:rPr>
        <w:t xml:space="preserve">LXXVI. törvény hatálybalépését megelőzően megkötött szerződéseknek, jognyilatkozatoknak a 2020. </w:t>
      </w:r>
      <w:r>
        <w:rPr>
          <w:rFonts w:cs="Times New Roman"/>
          <w:szCs w:val="24"/>
        </w:rPr>
        <w:t>é</w:t>
      </w:r>
      <w:r w:rsidRPr="00E461AB">
        <w:rPr>
          <w:rFonts w:cs="Times New Roman"/>
          <w:szCs w:val="24"/>
        </w:rPr>
        <w:t>vi</w:t>
      </w:r>
      <w:r>
        <w:rPr>
          <w:rFonts w:cs="Times New Roman"/>
          <w:szCs w:val="24"/>
        </w:rPr>
        <w:t xml:space="preserve"> </w:t>
      </w:r>
      <w:r w:rsidRPr="00E461AB">
        <w:rPr>
          <w:rFonts w:cs="Times New Roman"/>
          <w:szCs w:val="24"/>
        </w:rPr>
        <w:t>LXXVI. törvény hatálybalépését követő módosítása során a 7/B. §-ban foglaltakat alkalmazni kell.</w:t>
      </w:r>
    </w:p>
    <w:p w:rsidR="00E461AB" w:rsidRP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b/>
          <w:szCs w:val="24"/>
        </w:rPr>
      </w:pPr>
      <w:r w:rsidRPr="00E461AB">
        <w:rPr>
          <w:rFonts w:cs="Times New Roman"/>
          <w:b/>
          <w:szCs w:val="24"/>
        </w:rPr>
        <w:t>(2) A 2020. évi LXXVI. törvény hatálybalépésekor a 7/B. § (1) bekezdése szerinti szerződéssel vagy jognyilatkozattal rendelkező italt árusító vendéglátó üzlet a 7/B. § (2) bekezdését 2021. augusztus 1-jétől köteles alkalmazni.</w:t>
      </w:r>
    </w:p>
    <w:p w:rsidR="00E461AB" w:rsidRDefault="00E461AB" w:rsidP="00E461AB">
      <w:pPr>
        <w:autoSpaceDE w:val="0"/>
        <w:autoSpaceDN w:val="0"/>
        <w:adjustRightInd w:val="0"/>
        <w:spacing w:after="60"/>
        <w:rPr>
          <w:rFonts w:cs="Times New Roman"/>
          <w:b/>
          <w:szCs w:val="24"/>
        </w:rPr>
      </w:pPr>
      <w:r w:rsidRPr="00E461AB">
        <w:rPr>
          <w:rFonts w:cs="Times New Roman"/>
          <w:b/>
          <w:szCs w:val="24"/>
        </w:rPr>
        <w:t>A 2020. évi LXXVI. törvény hatálybalépésekor a 7/B. § (1) bekezdése szerinti szerződéssel vagy jognyilatkozattal nem rendelkező italt árusító vendéglátó üzlet a 7/B. § (2) bekezdését 2020. szeptember 1-jétől köteles alkalmazni.”</w:t>
      </w:r>
    </w:p>
    <w:p w:rsidR="00E461AB" w:rsidRDefault="00E461AB" w:rsidP="00E461AB">
      <w:pPr>
        <w:rPr>
          <w:rFonts w:cs="Times New Roman"/>
          <w:szCs w:val="24"/>
        </w:rPr>
      </w:pPr>
    </w:p>
    <w:sectPr w:rsidR="00E461AB" w:rsidSect="0068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AB"/>
    <w:rsid w:val="00073207"/>
    <w:rsid w:val="000F71AA"/>
    <w:rsid w:val="00410FD3"/>
    <w:rsid w:val="004D254C"/>
    <w:rsid w:val="006738A4"/>
    <w:rsid w:val="00685D54"/>
    <w:rsid w:val="00904733"/>
    <w:rsid w:val="00956133"/>
    <w:rsid w:val="00B43D05"/>
    <w:rsid w:val="00D36E2E"/>
    <w:rsid w:val="00E4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162E9-EB09-424A-B2C3-C7FF98E3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5D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">
    <w:name w:val="highlight"/>
    <w:basedOn w:val="Bekezdsalapbettpusa"/>
    <w:rsid w:val="00E4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5548</Characters>
  <Application>Microsoft Office Word</Application>
  <DocSecurity>0</DocSecurity>
  <Lines>78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Károly</dc:creator>
  <cp:lastModifiedBy>user</cp:lastModifiedBy>
  <cp:revision>2</cp:revision>
  <dcterms:created xsi:type="dcterms:W3CDTF">2020-07-17T10:23:00Z</dcterms:created>
  <dcterms:modified xsi:type="dcterms:W3CDTF">2020-07-17T10:23:00Z</dcterms:modified>
</cp:coreProperties>
</file>