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02" w:rsidRDefault="007E7A5C">
      <w:pPr>
        <w:spacing w:after="240"/>
        <w:jc w:val="center"/>
        <w:rPr>
          <w:rFonts w:cs="Times New Roman"/>
          <w:b/>
          <w:sz w:val="28"/>
          <w:szCs w:val="28"/>
        </w:rPr>
      </w:pPr>
      <w:r w:rsidRPr="007E7A5C">
        <w:rPr>
          <w:rFonts w:cs="Times New Roman"/>
          <w:b/>
          <w:sz w:val="28"/>
          <w:szCs w:val="28"/>
        </w:rPr>
        <w:t>Tájékoztató a borravaló és a felszolgálási díj közötti különbségről, valamint azok adóügyi vonatkozásairól</w:t>
      </w:r>
    </w:p>
    <w:p w:rsidR="00685D54" w:rsidRPr="00F43E80" w:rsidRDefault="007E7A5C" w:rsidP="000334C8">
      <w:pPr>
        <w:spacing w:after="6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A borravaló és a felszolgálási díj értelmezése</w:t>
      </w:r>
    </w:p>
    <w:p w:rsidR="00045874" w:rsidRPr="00F43E80" w:rsidRDefault="007E7A5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A borravaló</w:t>
      </w:r>
      <w:r w:rsidRPr="007E7A5C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a vendég által a szolgáltatással való elégedettséggel összefüggésben, </w:t>
      </w:r>
      <w:r>
        <w:rPr>
          <w:rFonts w:cs="Times New Roman"/>
          <w:b/>
          <w:szCs w:val="24"/>
        </w:rPr>
        <w:t>önkéntesen</w:t>
      </w:r>
      <w:r w:rsidRPr="007E7A5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adott</w:t>
      </w:r>
      <w:r>
        <w:rPr>
          <w:rFonts w:cs="Times New Roman"/>
          <w:szCs w:val="24"/>
        </w:rPr>
        <w:t xml:space="preserve"> (jellemzően a fogyasztás értékének kb. 10%-át kitevő) </w:t>
      </w:r>
      <w:r>
        <w:rPr>
          <w:rFonts w:cs="Times New Roman"/>
          <w:b/>
          <w:szCs w:val="24"/>
        </w:rPr>
        <w:t>összeg</w:t>
      </w:r>
      <w:r w:rsidRPr="007E7A5C">
        <w:rPr>
          <w:rFonts w:cs="Times New Roman"/>
          <w:b/>
          <w:szCs w:val="24"/>
        </w:rPr>
        <w:t xml:space="preserve"> </w:t>
      </w:r>
      <w:r w:rsidRPr="007E7A5C">
        <w:rPr>
          <w:rFonts w:cs="Times New Roman"/>
          <w:szCs w:val="24"/>
        </w:rPr>
        <w:t>és nem</w:t>
      </w:r>
      <w:r w:rsidR="00566720">
        <w:rPr>
          <w:rFonts w:cs="Times New Roman"/>
          <w:szCs w:val="24"/>
        </w:rPr>
        <w:t xml:space="preserve"> </w:t>
      </w:r>
      <w:r w:rsidRPr="007E7A5C">
        <w:rPr>
          <w:rFonts w:cs="Times New Roman"/>
          <w:szCs w:val="24"/>
        </w:rPr>
        <w:t>csak a vendéglátóiparra jellemző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Ezzel szemben </w:t>
      </w:r>
      <w:r>
        <w:rPr>
          <w:rFonts w:cs="Times New Roman"/>
          <w:b/>
          <w:szCs w:val="24"/>
        </w:rPr>
        <w:t>a felszolgálási díj</w:t>
      </w:r>
      <w:r>
        <w:rPr>
          <w:rFonts w:cs="Times New Roman"/>
          <w:szCs w:val="24"/>
        </w:rPr>
        <w:t xml:space="preserve"> egy miniszteri rendelet alapján </w:t>
      </w:r>
      <w:r>
        <w:rPr>
          <w:rFonts w:cs="Times New Roman"/>
          <w:b/>
          <w:szCs w:val="24"/>
        </w:rPr>
        <w:t xml:space="preserve">a </w:t>
      </w:r>
      <w:r w:rsidRPr="007E7A5C">
        <w:rPr>
          <w:rFonts w:cs="Times New Roman"/>
          <w:b/>
          <w:szCs w:val="24"/>
        </w:rPr>
        <w:t>vendéglátásban a felszolgáló közreműködésével történő kiszolgálásért felszámított külön díj</w:t>
      </w:r>
      <w:r w:rsidRPr="007E7A5C">
        <w:rPr>
          <w:rFonts w:cs="Times New Roman"/>
          <w:szCs w:val="24"/>
        </w:rPr>
        <w:t xml:space="preserve"> (általában a fogyasztás értékének 10-15%-a), amely részét képezi a fizetendő számla összegének. Ugyanakkor a felszolgálási díj megfizetése nem zárja ki, hogy a vendégek azon felül borravalót adjanak a felszolgálóknak.  </w:t>
      </w:r>
    </w:p>
    <w:p w:rsidR="007E0E35" w:rsidRPr="00F43E80" w:rsidRDefault="007E7A5C" w:rsidP="00045874">
      <w:pPr>
        <w:spacing w:before="120" w:after="120"/>
        <w:rPr>
          <w:rFonts w:cs="Times New Roman"/>
          <w:szCs w:val="24"/>
          <w:u w:val="single"/>
        </w:rPr>
      </w:pPr>
      <w:r w:rsidRPr="007E7A5C">
        <w:rPr>
          <w:rFonts w:cs="Times New Roman"/>
          <w:szCs w:val="24"/>
          <w:u w:val="single"/>
        </w:rPr>
        <w:t>A borravalóra vonatkozó általános szabályok</w:t>
      </w:r>
    </w:p>
    <w:p w:rsidR="007E0E35" w:rsidRPr="00F43E80" w:rsidRDefault="007E7A5C" w:rsidP="007E0E35">
      <w:pPr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 munka törvénykönyvéről szóló 2012. évi I. törvény szerint a munkáltató előzetes hozzájárulása nélkül a munkavállaló harmadik személytől díjazást a munkaviszonyban végzett tevékenységére tekintettel nem fogadhat el. Ezzel összhangban a borravaló kezeléséről a munkáltatónak a munkavállalókkal előzetesen meg kell állapodnia. A borravaló kezelése alapvetően meghatározza az adófizetési kötelezettségeket.</w:t>
      </w:r>
    </w:p>
    <w:p w:rsidR="000D13EC" w:rsidRPr="00F43E80" w:rsidRDefault="007E7A5C" w:rsidP="007E0E35">
      <w:pPr>
        <w:spacing w:before="120" w:after="120"/>
        <w:rPr>
          <w:rFonts w:cs="Times New Roman"/>
          <w:szCs w:val="24"/>
          <w:u w:val="single"/>
        </w:rPr>
      </w:pPr>
      <w:r w:rsidRPr="007E7A5C">
        <w:rPr>
          <w:rFonts w:cs="Times New Roman"/>
          <w:szCs w:val="24"/>
          <w:u w:val="single"/>
        </w:rPr>
        <w:t>A borravaló megjelenési formái és kezelése</w:t>
      </w:r>
    </w:p>
    <w:p w:rsidR="00062DE8" w:rsidRPr="00F43E80" w:rsidRDefault="007E7A5C" w:rsidP="001F34F2">
      <w:pPr>
        <w:spacing w:after="6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 vendégtől kapott borravaló különböző formában jelenhet meg egy vendéglátó üzletben, azonban adóügyi vonatkozásban kiemelt jelentősége van annak, hogy a kapott összeg bekerül-e a szolgáltató pénztárába vagy sem. A borravaló ugyanis főszabályként külön kezelendő</w:t>
      </w:r>
      <w:r w:rsidR="00DE5EB8">
        <w:rPr>
          <w:rFonts w:cs="Times New Roman"/>
          <w:szCs w:val="24"/>
        </w:rPr>
        <w:t xml:space="preserve"> és</w:t>
      </w:r>
      <w:r w:rsidRPr="007E7A5C">
        <w:rPr>
          <w:rFonts w:cs="Times New Roman"/>
          <w:szCs w:val="24"/>
        </w:rPr>
        <w:t xml:space="preserve"> nem része a nyújtott szolgáltatás adóalapjának, az nem képez</w:t>
      </w:r>
      <w:r w:rsidR="00DE5EB8">
        <w:rPr>
          <w:rFonts w:cs="Times New Roman"/>
          <w:szCs w:val="24"/>
        </w:rPr>
        <w:t xml:space="preserve"> ÁFA </w:t>
      </w:r>
      <w:r w:rsidRPr="007E7A5C">
        <w:rPr>
          <w:rFonts w:cs="Times New Roman"/>
          <w:szCs w:val="24"/>
        </w:rPr>
        <w:t xml:space="preserve">alapot. </w:t>
      </w:r>
    </w:p>
    <w:p w:rsidR="00B752EC" w:rsidRPr="00F43E80" w:rsidRDefault="007E7A5C" w:rsidP="001F34F2">
      <w:pPr>
        <w:spacing w:after="6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 borravaló kezelése szempontjából az alábbi esetek fordulhatnak elő:</w:t>
      </w:r>
    </w:p>
    <w:p w:rsidR="00045874" w:rsidRPr="00F43E80" w:rsidRDefault="007E7A5C" w:rsidP="00E03C65">
      <w:pPr>
        <w:pStyle w:val="Listaszerbekezds"/>
        <w:numPr>
          <w:ilvl w:val="0"/>
          <w:numId w:val="1"/>
        </w:numPr>
        <w:spacing w:after="60"/>
        <w:ind w:left="839" w:hanging="357"/>
        <w:contextualSpacing w:val="0"/>
        <w:rPr>
          <w:rFonts w:cs="Times New Roman"/>
          <w:i/>
          <w:szCs w:val="24"/>
        </w:rPr>
      </w:pPr>
      <w:r w:rsidRPr="007E7A5C">
        <w:rPr>
          <w:rFonts w:cs="Times New Roman"/>
          <w:i/>
          <w:szCs w:val="24"/>
        </w:rPr>
        <w:t>Készpénzben kapott borravaló közvetlenül a felszolgálónak</w:t>
      </w:r>
    </w:p>
    <w:p w:rsidR="00083B12" w:rsidRPr="00F43E80" w:rsidRDefault="007E7A5C" w:rsidP="00E03C65">
      <w:pPr>
        <w:pStyle w:val="Listaszerbekezds"/>
        <w:spacing w:after="120"/>
        <w:ind w:left="839"/>
        <w:contextualSpacing w:val="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 személyi jövedelemadóról szóló 1995. évi CXVII. törvény (a továbbiakban: Szja tv.) szerint adómentes bevételnek számít a vendéglátó üzlet felszolgálójaként a fogyasztótól közvetlenül kapott borravaló. A felszolgáló dönthet úgy, hogy a fogyasztótól közvetlenül kapott borravaló után 15% nyugdíjjárulékot fizet, amelyről a személyi jövedelemadóról benyújtott bevallásában tud adatot szolgáltatni. Ebben az esetben a</w:t>
      </w:r>
      <w:r w:rsidRPr="007E7A5C">
        <w:rPr>
          <w:rFonts w:cs="Times New Roman"/>
          <w:bCs/>
          <w:szCs w:val="24"/>
        </w:rPr>
        <w:t xml:space="preserve"> Tny. tv. 22. § </w:t>
      </w:r>
      <w:r w:rsidRPr="007E7A5C">
        <w:rPr>
          <w:rFonts w:cs="Times New Roman"/>
          <w:szCs w:val="24"/>
        </w:rPr>
        <w:t>(1) bekezdésének f) pontja alapján a nyugdíjalap megállapításánál a borravaló 81%-át veszik figyelembe.</w:t>
      </w:r>
    </w:p>
    <w:p w:rsidR="00B752EC" w:rsidRPr="00F43E80" w:rsidRDefault="007E7A5C" w:rsidP="00E03C65">
      <w:pPr>
        <w:pStyle w:val="Listaszerbekezds"/>
        <w:numPr>
          <w:ilvl w:val="0"/>
          <w:numId w:val="1"/>
        </w:numPr>
        <w:spacing w:after="60"/>
        <w:ind w:left="839" w:hanging="357"/>
        <w:contextualSpacing w:val="0"/>
        <w:rPr>
          <w:rFonts w:cs="Times New Roman"/>
          <w:i/>
          <w:szCs w:val="24"/>
        </w:rPr>
      </w:pPr>
      <w:r w:rsidRPr="007E7A5C">
        <w:rPr>
          <w:rFonts w:cs="Times New Roman"/>
          <w:i/>
          <w:szCs w:val="24"/>
        </w:rPr>
        <w:t>Készpénzben kapott borravaló elkülönített formában gyűjtve</w:t>
      </w:r>
    </w:p>
    <w:p w:rsidR="00E03C65" w:rsidRPr="00F43E80" w:rsidRDefault="007E7A5C" w:rsidP="008E3BC4">
      <w:pPr>
        <w:pStyle w:val="Listaszerbekezds"/>
        <w:spacing w:after="120"/>
        <w:ind w:left="839"/>
        <w:contextualSpacing w:val="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Amennyiben a felszolgálók a borravalót nem teszik el, hanem elkülönített formában összegyűjtik (pl. borravalós dobozban) és azt a nap végén a munkáltató osztja szét az alkalmazottak között, akkor az Szja tv. alapján nem minősül adómentes bevételnek. Erre tekintettel a szétosztandó borravaló munkabérként kezelendő, amely adó- és járulékköteles. Ha a szétosztás a munkáltatótól függetlenül történik, vagyis a felszolgálók egymás között felosztják, akkor </w:t>
      </w:r>
      <w:r w:rsidR="00DE5EB8">
        <w:rPr>
          <w:rFonts w:cs="Times New Roman"/>
          <w:szCs w:val="24"/>
        </w:rPr>
        <w:t xml:space="preserve">a borravaló </w:t>
      </w:r>
      <w:r w:rsidRPr="007E7A5C">
        <w:rPr>
          <w:rFonts w:cs="Times New Roman"/>
          <w:szCs w:val="24"/>
        </w:rPr>
        <w:t>számukra adómentes bevételnek minősül.</w:t>
      </w:r>
    </w:p>
    <w:p w:rsidR="00B752EC" w:rsidRPr="00F43E80" w:rsidRDefault="007E7A5C" w:rsidP="00BB702D">
      <w:pPr>
        <w:pStyle w:val="Listaszerbekezds"/>
        <w:numPr>
          <w:ilvl w:val="0"/>
          <w:numId w:val="1"/>
        </w:numPr>
        <w:spacing w:after="60"/>
        <w:ind w:left="839" w:hanging="357"/>
        <w:contextualSpacing w:val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Készpénzben kapott borravaló a szolgáltató pénztárába</w:t>
      </w:r>
    </w:p>
    <w:p w:rsidR="00BB702D" w:rsidRPr="00F43E80" w:rsidRDefault="007E7A5C" w:rsidP="008939C5">
      <w:pPr>
        <w:pStyle w:val="Listaszerbekezds"/>
        <w:spacing w:after="60"/>
        <w:ind w:left="839"/>
        <w:contextualSpacing w:val="0"/>
        <w:rPr>
          <w:rFonts w:cs="Times New Roman"/>
          <w:bCs/>
          <w:szCs w:val="24"/>
        </w:rPr>
      </w:pPr>
      <w:r w:rsidRPr="007E7A5C">
        <w:rPr>
          <w:rFonts w:cs="Times New Roman"/>
          <w:szCs w:val="24"/>
        </w:rPr>
        <w:t xml:space="preserve">A pénztárba kerülő borravaló a vállalkozás bevételének számít, ezért az abból történő kifizetés a munkabérre vonatkozó adók és járulékok megfizetése mellett lehetséges. Emellett a pénztárba került borravalót bizonylatolási szempontból megfelelő módon kezelni kell, amelyre </w:t>
      </w:r>
      <w:r w:rsidRPr="007E7A5C">
        <w:rPr>
          <w:rFonts w:eastAsia="Calibri" w:cs="Times New Roman"/>
          <w:bCs/>
          <w:szCs w:val="24"/>
        </w:rPr>
        <w:t xml:space="preserve">a </w:t>
      </w:r>
      <w:r w:rsidRPr="00737E84">
        <w:rPr>
          <w:rFonts w:cs="Times New Roman"/>
          <w:bCs/>
          <w:szCs w:val="24"/>
        </w:rPr>
        <w:t>48/2013. (XI. 15.) NGM</w:t>
      </w:r>
      <w:r w:rsidRPr="007E7A5C">
        <w:rPr>
          <w:rFonts w:eastAsia="Calibri" w:cs="Times New Roman"/>
          <w:bCs/>
          <w:szCs w:val="24"/>
        </w:rPr>
        <w:t xml:space="preserve"> rendelet 67. § 2. pontjában az adóügyi bizonylatok között felsorolt pénzmozgás bizonylat </w:t>
      </w:r>
      <w:r w:rsidRPr="007E7A5C">
        <w:rPr>
          <w:rFonts w:cs="Times New Roman"/>
          <w:bCs/>
          <w:szCs w:val="24"/>
        </w:rPr>
        <w:t xml:space="preserve">alkalmas. A borravaló </w:t>
      </w:r>
      <w:r w:rsidR="002E5A2D">
        <w:rPr>
          <w:rFonts w:cs="Times New Roman"/>
          <w:bCs/>
          <w:szCs w:val="24"/>
        </w:rPr>
        <w:t xml:space="preserve">egyéb </w:t>
      </w:r>
      <w:r w:rsidR="002E5A2D">
        <w:rPr>
          <w:rFonts w:cs="Times New Roman"/>
          <w:bCs/>
          <w:szCs w:val="24"/>
        </w:rPr>
        <w:lastRenderedPageBreak/>
        <w:t xml:space="preserve">bevételként </w:t>
      </w:r>
      <w:r w:rsidRPr="007E7A5C">
        <w:rPr>
          <w:rFonts w:cs="Times New Roman"/>
          <w:bCs/>
          <w:szCs w:val="24"/>
        </w:rPr>
        <w:t>pénzmozgás bizonylattal történő rögzítését az online pénztárgépben a fizetést követően haladéktalanul meg kell tenni.</w:t>
      </w:r>
    </w:p>
    <w:p w:rsidR="00FC0BEE" w:rsidRPr="00F43E80" w:rsidRDefault="007E7A5C" w:rsidP="00FC0BEE">
      <w:pPr>
        <w:pStyle w:val="Listaszerbekezds"/>
        <w:numPr>
          <w:ilvl w:val="0"/>
          <w:numId w:val="1"/>
        </w:numPr>
        <w:spacing w:after="60"/>
        <w:ind w:left="839" w:hanging="357"/>
        <w:contextualSpacing w:val="0"/>
        <w:rPr>
          <w:rFonts w:cs="Times New Roman"/>
          <w:i/>
          <w:szCs w:val="24"/>
        </w:rPr>
      </w:pPr>
      <w:r w:rsidRPr="007E7A5C">
        <w:rPr>
          <w:rFonts w:cs="Times New Roman"/>
          <w:i/>
          <w:szCs w:val="24"/>
        </w:rPr>
        <w:t>Bankkártyás fizetés útján kapott borravaló a szolgáltató pénztárába</w:t>
      </w:r>
    </w:p>
    <w:p w:rsidR="00790BF3" w:rsidRDefault="007E7A5C" w:rsidP="004F0992">
      <w:pPr>
        <w:pStyle w:val="Listaszerbekezds"/>
        <w:spacing w:after="120"/>
        <w:ind w:left="839"/>
        <w:contextualSpacing w:val="0"/>
        <w:rPr>
          <w:rFonts w:cs="Times New Roman"/>
          <w:bCs/>
          <w:szCs w:val="24"/>
        </w:rPr>
      </w:pPr>
      <w:r w:rsidRPr="007E7A5C">
        <w:rPr>
          <w:rFonts w:cs="Times New Roman"/>
          <w:szCs w:val="24"/>
        </w:rPr>
        <w:t xml:space="preserve">A bankkártyás fizetés útján kapott borravaló </w:t>
      </w:r>
      <w:r w:rsidR="00FE5F15">
        <w:rPr>
          <w:rFonts w:cs="Times New Roman"/>
          <w:szCs w:val="24"/>
        </w:rPr>
        <w:t>mindenképpen</w:t>
      </w:r>
      <w:r w:rsidRPr="007E7A5C">
        <w:rPr>
          <w:rFonts w:cs="Times New Roman"/>
          <w:szCs w:val="24"/>
        </w:rPr>
        <w:t xml:space="preserve"> bekerül a pénztárba és a vállalkozás bevételét képezi, ezért ebben az esetben is szükséges a </w:t>
      </w:r>
      <w:r w:rsidRPr="007E7A5C">
        <w:rPr>
          <w:rFonts w:cs="Times New Roman"/>
          <w:bCs/>
          <w:szCs w:val="24"/>
        </w:rPr>
        <w:t xml:space="preserve">pénzmozgás bizonylat alkalmazása. </w:t>
      </w:r>
      <w:r w:rsidR="00AD7CBF">
        <w:rPr>
          <w:rFonts w:cs="Times New Roman"/>
          <w:bCs/>
          <w:szCs w:val="24"/>
        </w:rPr>
        <w:t>A</w:t>
      </w:r>
      <w:r w:rsidR="00DE5EB8">
        <w:rPr>
          <w:rFonts w:cs="Times New Roman"/>
          <w:bCs/>
          <w:szCs w:val="24"/>
        </w:rPr>
        <w:t xml:space="preserve"> nyugtán vagy számlán csak a szolgáltatás ellenértékét (borravaló nélkül) kell feltüntetni. </w:t>
      </w:r>
      <w:r w:rsidRPr="007E7A5C">
        <w:rPr>
          <w:rFonts w:cs="Times New Roman"/>
          <w:bCs/>
          <w:szCs w:val="24"/>
        </w:rPr>
        <w:t>Az így kifizetett borravaló a magánszemélyek bérjövedelmeként adó-és járulékköteles.</w:t>
      </w:r>
    </w:p>
    <w:p w:rsidR="009517E1" w:rsidRDefault="00A902D0">
      <w:pPr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Amennyiben a borravaló a készpénzes vagy bankkártyás fizetés útján bekerül a szolgáltató pénztárába, akkor annak a kifizetése nem kötelező a munkáltató számára, de egyéb bevételként rögzíteni szükséges.</w:t>
      </w:r>
    </w:p>
    <w:p w:rsidR="007A1217" w:rsidRPr="00F43E80" w:rsidRDefault="007E7A5C" w:rsidP="00390C7C">
      <w:pPr>
        <w:spacing w:before="120" w:after="120"/>
        <w:rPr>
          <w:rFonts w:cs="Times New Roman"/>
          <w:szCs w:val="24"/>
          <w:u w:val="single"/>
        </w:rPr>
      </w:pPr>
      <w:r w:rsidRPr="007E7A5C">
        <w:rPr>
          <w:rFonts w:cs="Times New Roman"/>
          <w:szCs w:val="24"/>
          <w:u w:val="single"/>
        </w:rPr>
        <w:t>A felszolgálási díjra vonatkozó szabályozás</w:t>
      </w:r>
    </w:p>
    <w:p w:rsidR="007A1217" w:rsidRPr="00F43E80" w:rsidRDefault="007E7A5C" w:rsidP="00F4540B">
      <w:pPr>
        <w:pStyle w:val="Cmsor1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7E7A5C">
        <w:rPr>
          <w:b w:val="0"/>
          <w:sz w:val="24"/>
          <w:szCs w:val="24"/>
        </w:rPr>
        <w:t xml:space="preserve">A felszolgálási díj mértékének megállapításáról, valamint a felszolgálási díj alkalmazásának és felhasználásának szabályairól szóló </w:t>
      </w:r>
      <w:r w:rsidRPr="007E7A5C">
        <w:rPr>
          <w:sz w:val="24"/>
          <w:szCs w:val="24"/>
        </w:rPr>
        <w:t>71/2005. (IX. 27.) GKM rendelet</w:t>
      </w:r>
      <w:r w:rsidR="00737E84">
        <w:rPr>
          <w:sz w:val="24"/>
          <w:szCs w:val="24"/>
        </w:rPr>
        <w:t xml:space="preserve"> </w:t>
      </w:r>
      <w:r w:rsidRPr="007E7A5C">
        <w:rPr>
          <w:b w:val="0"/>
          <w:sz w:val="24"/>
          <w:szCs w:val="24"/>
        </w:rPr>
        <w:t xml:space="preserve">alapján a felszolgálási díj a kereskedelemről szóló 2005. évi CLXIV. törvény szerinti vendéglátás keretében a vendégek felszolgáló közreműködésével történő kiszolgálásáért felszámított külön díj, amelyet a </w:t>
      </w:r>
      <w:r w:rsidRPr="007E7A5C">
        <w:rPr>
          <w:sz w:val="24"/>
          <w:szCs w:val="24"/>
        </w:rPr>
        <w:t>fogyasztó részére adott számlán, nyugtán elkülönítetten kell feltüntetni</w:t>
      </w:r>
      <w:r w:rsidRPr="007E7A5C">
        <w:rPr>
          <w:b w:val="0"/>
          <w:sz w:val="24"/>
          <w:szCs w:val="24"/>
        </w:rPr>
        <w:t>. A felszolgálási díjat havonta kell a vendéglátásban közvetlenül – az üzletben – közreműködőknek</w:t>
      </w:r>
      <w:r w:rsidRPr="007E7A5C">
        <w:rPr>
          <w:b w:val="0"/>
          <w:bCs w:val="0"/>
          <w:color w:val="000000"/>
          <w:sz w:val="24"/>
          <w:szCs w:val="24"/>
        </w:rPr>
        <w:t xml:space="preserve"> (például a szakácsoknak, konyhai kisegítőknek, felszolgálóknak)</w:t>
      </w:r>
      <w:r w:rsidRPr="007E7A5C">
        <w:rPr>
          <w:b w:val="0"/>
          <w:sz w:val="24"/>
          <w:szCs w:val="24"/>
        </w:rPr>
        <w:t xml:space="preserve"> kifizetni. A kifizetésnek meg kell egyeznie a felszolgálási díj befolyt összegének – külön jogszabályokban meghatározott – adókkal és járulékokkal csökkentett hányadával. </w:t>
      </w:r>
    </w:p>
    <w:p w:rsidR="009517E1" w:rsidRDefault="007E7A5C">
      <w:pPr>
        <w:spacing w:after="60"/>
        <w:jc w:val="left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A felszolgálási díjra a következő adóügyi szabályok érvényesek:</w:t>
      </w:r>
    </w:p>
    <w:p w:rsidR="007A1217" w:rsidRPr="00F43E80" w:rsidRDefault="007E7A5C" w:rsidP="008939C5">
      <w:pPr>
        <w:numPr>
          <w:ilvl w:val="0"/>
          <w:numId w:val="2"/>
        </w:numPr>
        <w:ind w:left="714" w:hanging="357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Az Szja tv. 1. sz. mellékletének 4.21. alpontja szerint a magánszemély által ilyen címen megszerzett jövedelem adómentes.</w:t>
      </w:r>
    </w:p>
    <w:p w:rsidR="007A1217" w:rsidRPr="00F43E80" w:rsidRDefault="007E7A5C" w:rsidP="008939C5">
      <w:pPr>
        <w:numPr>
          <w:ilvl w:val="0"/>
          <w:numId w:val="2"/>
        </w:num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társadalombiztosítás ellátásaira és a magánnyugdíjra jogosultakról, valamint e szolgáltatások fedezetéről szóló 1997. évi LXXX. törvény 26.§ (7) bekezdése alapján a felszolgálási díj járulékalapot képező jövedelem, amely után a foglalkoztatónak – a foglalkoztatott helyett – 15% nyugdíjjárulékot kell fizetnie.</w:t>
      </w:r>
    </w:p>
    <w:p w:rsidR="009B3002" w:rsidRDefault="007E7A5C">
      <w:pPr>
        <w:numPr>
          <w:ilvl w:val="0"/>
          <w:numId w:val="2"/>
        </w:numPr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hu-HU"/>
        </w:rPr>
        <w:t>A foglalkoztatott nem fizet nyugdíjjáruléko</w:t>
      </w:r>
      <w:r w:rsidR="00566720">
        <w:rPr>
          <w:rFonts w:eastAsia="Times New Roman" w:cs="Times New Roman"/>
          <w:szCs w:val="24"/>
          <w:lang w:eastAsia="hu-HU"/>
        </w:rPr>
        <w:t>t, valamint egészségbiztosítási</w:t>
      </w:r>
      <w:r>
        <w:rPr>
          <w:rFonts w:eastAsia="Times New Roman" w:cs="Times New Roman"/>
          <w:szCs w:val="24"/>
          <w:lang w:eastAsia="hu-HU"/>
        </w:rPr>
        <w:t xml:space="preserve"> és munkaerő-piaci járulékot.</w:t>
      </w:r>
      <w:r w:rsidR="00FE5F15">
        <w:rPr>
          <w:rFonts w:eastAsia="Times New Roman" w:cs="Times New Roman"/>
          <w:szCs w:val="24"/>
          <w:lang w:eastAsia="hu-HU"/>
        </w:rPr>
        <w:t xml:space="preserve"> </w:t>
      </w:r>
      <w:r w:rsidRPr="007E7A5C">
        <w:rPr>
          <w:rFonts w:cs="Times New Roman"/>
          <w:szCs w:val="24"/>
        </w:rPr>
        <w:t>A felszolgálási díj az Áfa tv. 13. §-a szerinti szolgáltatásnyújtás ellenértékének minősül és a szolgáltatásra egyébként irányadó adómértékkel adózik</w:t>
      </w:r>
      <w:r>
        <w:rPr>
          <w:rFonts w:eastAsia="Calibri" w:cs="Times New Roman"/>
          <w:szCs w:val="24"/>
        </w:rPr>
        <w:t xml:space="preserve">. </w:t>
      </w:r>
      <w:r w:rsidRPr="007E7A5C">
        <w:rPr>
          <w:rFonts w:cs="Times New Roman"/>
          <w:color w:val="000000"/>
          <w:szCs w:val="24"/>
        </w:rPr>
        <w:t>A különböző adómérték alá tartozó</w:t>
      </w:r>
      <w:r w:rsidR="00FE5F15">
        <w:rPr>
          <w:rFonts w:cs="Times New Roman"/>
          <w:color w:val="000000"/>
          <w:szCs w:val="24"/>
        </w:rPr>
        <w:t xml:space="preserve"> </w:t>
      </w:r>
      <w:r w:rsidRPr="007E7A5C">
        <w:rPr>
          <w:rFonts w:cs="Times New Roman"/>
          <w:color w:val="000000"/>
          <w:szCs w:val="24"/>
        </w:rPr>
        <w:t>szolgáltatások felszolgálási díjának összegét az eltérő adómérték alá tartozó szolgáltatások között – azok ellenértéke alapján – arányosan meg kell osztani.</w:t>
      </w:r>
    </w:p>
    <w:p w:rsidR="007A1217" w:rsidRPr="00F43E80" w:rsidRDefault="007E7A5C" w:rsidP="008939C5">
      <w:pPr>
        <w:numPr>
          <w:ilvl w:val="0"/>
          <w:numId w:val="2"/>
        </w:num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felszolgálási díj járulékalapja a vendéglátásban közreműködőknek kifizetendő, ÁFA nélküli (5% vagy 27%) összeg.</w:t>
      </w:r>
    </w:p>
    <w:p w:rsidR="009B3002" w:rsidRDefault="007E7A5C">
      <w:pPr>
        <w:numPr>
          <w:ilvl w:val="0"/>
          <w:numId w:val="2"/>
        </w:numPr>
        <w:spacing w:after="120"/>
        <w:ind w:left="714" w:hanging="357"/>
        <w:rPr>
          <w:rFonts w:eastAsia="Times New Roman" w:cs="Times New Roman"/>
          <w:szCs w:val="24"/>
          <w:lang w:eastAsia="hu-HU"/>
        </w:rPr>
      </w:pPr>
      <w:r w:rsidRPr="007E7A5C">
        <w:rPr>
          <w:rFonts w:cs="Times New Roman"/>
          <w:bCs/>
          <w:szCs w:val="24"/>
        </w:rPr>
        <w:t xml:space="preserve">A Tny. tv. 22. § </w:t>
      </w:r>
      <w:r w:rsidRPr="007E7A5C">
        <w:rPr>
          <w:rFonts w:cs="Times New Roman"/>
          <w:szCs w:val="24"/>
        </w:rPr>
        <w:t>(1) bekezdésének e) pontja értelmében a nyugdíjalap megállapításánál a felszolgálási díj 81%-át veszik figyelembe.</w:t>
      </w:r>
    </w:p>
    <w:p w:rsidR="009B3002" w:rsidRDefault="007E7A5C">
      <w:pPr>
        <w:spacing w:after="6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A felszolgálási díj közreműködők közötti felosztásának szabályairól, arányáról az üzemeltetőnek </w:t>
      </w:r>
      <w:r>
        <w:rPr>
          <w:rFonts w:eastAsia="Times New Roman" w:cs="Times New Roman"/>
          <w:szCs w:val="24"/>
          <w:lang w:eastAsia="hu-HU"/>
        </w:rPr>
        <w:t xml:space="preserve">– </w:t>
      </w:r>
      <w:r w:rsidRPr="007E7A5C">
        <w:rPr>
          <w:rFonts w:cs="Times New Roman"/>
          <w:szCs w:val="24"/>
        </w:rPr>
        <w:t>ha a munkahelyen munkavállalói érdek</w:t>
      </w:r>
      <w:r w:rsidR="00737E84">
        <w:rPr>
          <w:rFonts w:cs="Times New Roman"/>
          <w:szCs w:val="24"/>
        </w:rPr>
        <w:t>-</w:t>
      </w:r>
      <w:r w:rsidRPr="007E7A5C">
        <w:rPr>
          <w:rFonts w:cs="Times New Roman"/>
          <w:szCs w:val="24"/>
        </w:rPr>
        <w:t xml:space="preserve">képviseleti szervezet működik </w:t>
      </w:r>
      <w:r>
        <w:rPr>
          <w:rFonts w:eastAsia="Times New Roman" w:cs="Times New Roman"/>
          <w:szCs w:val="24"/>
          <w:lang w:eastAsia="hu-HU"/>
        </w:rPr>
        <w:t>–</w:t>
      </w:r>
      <w:r w:rsidRPr="007E7A5C">
        <w:rPr>
          <w:rFonts w:cs="Times New Roman"/>
          <w:szCs w:val="24"/>
        </w:rPr>
        <w:t xml:space="preserve"> az érdek-képviseleti szervezettel kell írásban megállapodnia. Ha a munkahelyen munkavállalói érdek-képviseleti szervezet nem működik, </w:t>
      </w:r>
      <w:r w:rsidRPr="007E7A5C">
        <w:rPr>
          <w:rFonts w:cs="Times New Roman"/>
          <w:b/>
          <w:szCs w:val="24"/>
        </w:rPr>
        <w:t>a felszolgálási díj felosztásának arányáról az üzemeltetőnek a közreműködőkkel kell írásban megállapodni</w:t>
      </w:r>
    </w:p>
    <w:p w:rsidR="007A1217" w:rsidRDefault="007E7A5C" w:rsidP="001F34F2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A kifizetésre kerülő összeget oly módon kell meghatározni, hogy a felszolgálási díj címén felszámított összegből le kell vonni azokat az adókat és járulékokat, amelyek a vállalkozást terhelik. Ez azt jelenti, hogy a kiszámlázott felszolgálási díj összegét először csökkenteni kell az általános forgalmi adóval, amely az értékesített szolgáltatástól függően lehet 5 vagy 27 százalék. </w:t>
      </w:r>
      <w:r w:rsidRPr="007E7A5C">
        <w:rPr>
          <w:rFonts w:cs="Times New Roman"/>
          <w:szCs w:val="24"/>
        </w:rPr>
        <w:lastRenderedPageBreak/>
        <w:t>A járulék alapja a számlán feltüntetett felszolgálási díj nettó összegéből "felülről számítva" határozható meg az alábbi példa szerint.</w:t>
      </w:r>
    </w:p>
    <w:tbl>
      <w:tblPr>
        <w:tblStyle w:val="Rcsostblzat"/>
        <w:tblW w:w="0" w:type="auto"/>
        <w:jc w:val="center"/>
        <w:tblLook w:val="04A0"/>
      </w:tblPr>
      <w:tblGrid>
        <w:gridCol w:w="5495"/>
        <w:gridCol w:w="1776"/>
        <w:gridCol w:w="1941"/>
      </w:tblGrid>
      <w:tr w:rsidR="007A1217" w:rsidRPr="00F43E80" w:rsidTr="00390C7C">
        <w:trPr>
          <w:jc w:val="center"/>
        </w:trPr>
        <w:tc>
          <w:tcPr>
            <w:tcW w:w="5495" w:type="dxa"/>
            <w:vAlign w:val="center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Összes (bruttó) fogyasztás</w:t>
            </w:r>
          </w:p>
        </w:tc>
        <w:tc>
          <w:tcPr>
            <w:tcW w:w="3717" w:type="dxa"/>
            <w:gridSpan w:val="2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1 000 Ft</w:t>
            </w:r>
          </w:p>
        </w:tc>
      </w:tr>
      <w:tr w:rsidR="007A1217" w:rsidRPr="00F43E80" w:rsidTr="00390C7C">
        <w:trPr>
          <w:jc w:val="center"/>
        </w:trPr>
        <w:tc>
          <w:tcPr>
            <w:tcW w:w="5495" w:type="dxa"/>
            <w:vAlign w:val="center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A számlában feltüntetett felszolgálási díj (10%)</w:t>
            </w:r>
          </w:p>
        </w:tc>
        <w:tc>
          <w:tcPr>
            <w:tcW w:w="3717" w:type="dxa"/>
            <w:gridSpan w:val="2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100 Ft</w:t>
            </w:r>
          </w:p>
        </w:tc>
      </w:tr>
      <w:tr w:rsidR="007A1217" w:rsidRPr="00F43E80" w:rsidTr="008939C5">
        <w:trPr>
          <w:trHeight w:val="278"/>
          <w:jc w:val="center"/>
        </w:trPr>
        <w:tc>
          <w:tcPr>
            <w:tcW w:w="5495" w:type="dxa"/>
            <w:vMerge w:val="restart"/>
            <w:vAlign w:val="center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Felszolgálási díj Á</w:t>
            </w:r>
            <w:r w:rsidR="00737E84">
              <w:rPr>
                <w:rFonts w:cs="Times New Roman"/>
                <w:szCs w:val="24"/>
              </w:rPr>
              <w:t>FA</w:t>
            </w:r>
            <w:r w:rsidR="00AD7CBF">
              <w:rPr>
                <w:rFonts w:cs="Times New Roman"/>
                <w:szCs w:val="24"/>
              </w:rPr>
              <w:t xml:space="preserve"> </w:t>
            </w:r>
            <w:r w:rsidRPr="007E7A5C">
              <w:rPr>
                <w:rFonts w:cs="Times New Roman"/>
                <w:szCs w:val="24"/>
              </w:rPr>
              <w:t>tartalma</w:t>
            </w:r>
          </w:p>
        </w:tc>
        <w:tc>
          <w:tcPr>
            <w:tcW w:w="1776" w:type="dxa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5%</w:t>
            </w:r>
          </w:p>
        </w:tc>
        <w:tc>
          <w:tcPr>
            <w:tcW w:w="1941" w:type="dxa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27%</w:t>
            </w:r>
          </w:p>
        </w:tc>
      </w:tr>
      <w:tr w:rsidR="007A1217" w:rsidRPr="00F43E80" w:rsidTr="008939C5">
        <w:trPr>
          <w:trHeight w:val="277"/>
          <w:jc w:val="center"/>
        </w:trPr>
        <w:tc>
          <w:tcPr>
            <w:tcW w:w="5495" w:type="dxa"/>
            <w:vMerge/>
            <w:vAlign w:val="center"/>
          </w:tcPr>
          <w:p w:rsidR="007A1217" w:rsidRPr="00F43E80" w:rsidRDefault="007A1217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1776" w:type="dxa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4,76 ≈ 5 Ft</w:t>
            </w:r>
          </w:p>
        </w:tc>
        <w:tc>
          <w:tcPr>
            <w:tcW w:w="1941" w:type="dxa"/>
          </w:tcPr>
          <w:p w:rsidR="007A1217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21 Ft</w:t>
            </w:r>
          </w:p>
        </w:tc>
      </w:tr>
      <w:tr w:rsidR="007A1217" w:rsidRPr="00F43E80" w:rsidTr="008939C5">
        <w:trPr>
          <w:trHeight w:val="277"/>
          <w:jc w:val="center"/>
        </w:trPr>
        <w:tc>
          <w:tcPr>
            <w:tcW w:w="5495" w:type="dxa"/>
            <w:vAlign w:val="center"/>
          </w:tcPr>
          <w:p w:rsidR="007A1217" w:rsidRPr="00F43E80" w:rsidRDefault="007E7A5C" w:rsidP="00057F6F">
            <w:pPr>
              <w:tabs>
                <w:tab w:val="center" w:pos="4536"/>
                <w:tab w:val="left" w:pos="6379"/>
                <w:tab w:val="right" w:pos="9072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Nettó felszolgálási díj</w:t>
            </w:r>
          </w:p>
        </w:tc>
        <w:tc>
          <w:tcPr>
            <w:tcW w:w="1776" w:type="dxa"/>
          </w:tcPr>
          <w:p w:rsidR="007A1217" w:rsidRPr="00F43E80" w:rsidRDefault="007E7A5C" w:rsidP="00057F6F">
            <w:pPr>
              <w:tabs>
                <w:tab w:val="center" w:pos="4536"/>
                <w:tab w:val="left" w:pos="6379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E7A5C">
              <w:rPr>
                <w:rFonts w:cs="Times New Roman"/>
                <w:b/>
                <w:szCs w:val="24"/>
              </w:rPr>
              <w:t>95 Ft</w:t>
            </w:r>
          </w:p>
        </w:tc>
        <w:tc>
          <w:tcPr>
            <w:tcW w:w="1941" w:type="dxa"/>
          </w:tcPr>
          <w:p w:rsidR="007A1217" w:rsidRPr="00F43E80" w:rsidRDefault="007E7A5C" w:rsidP="00057F6F">
            <w:pPr>
              <w:tabs>
                <w:tab w:val="center" w:pos="4536"/>
                <w:tab w:val="left" w:pos="6379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E7A5C">
              <w:rPr>
                <w:rFonts w:cs="Times New Roman"/>
                <w:b/>
                <w:szCs w:val="24"/>
              </w:rPr>
              <w:t>79 Ft</w:t>
            </w:r>
          </w:p>
        </w:tc>
      </w:tr>
      <w:tr w:rsidR="00F43E80" w:rsidRPr="00F43E80" w:rsidTr="008939C5">
        <w:trPr>
          <w:jc w:val="center"/>
        </w:trPr>
        <w:tc>
          <w:tcPr>
            <w:tcW w:w="5495" w:type="dxa"/>
            <w:vAlign w:val="center"/>
          </w:tcPr>
          <w:p w:rsidR="00F43E80" w:rsidRPr="00F43E80" w:rsidRDefault="007E7A5C" w:rsidP="00057F6F">
            <w:pPr>
              <w:tabs>
                <w:tab w:val="center" w:pos="4536"/>
                <w:tab w:val="left" w:pos="7230"/>
                <w:tab w:val="right" w:pos="9072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 xml:space="preserve">Járulék alapja, azaz a vendéglátásban közreműködőknek kifizetendő összeg </w:t>
            </w:r>
          </w:p>
        </w:tc>
        <w:tc>
          <w:tcPr>
            <w:tcW w:w="1776" w:type="dxa"/>
          </w:tcPr>
          <w:p w:rsidR="00F43E80" w:rsidRPr="00390C7C" w:rsidRDefault="00F43E80" w:rsidP="00F35D81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90C7C">
              <w:rPr>
                <w:rFonts w:cs="Times New Roman"/>
                <w:sz w:val="22"/>
              </w:rPr>
              <w:t>(100-5)/1,15</w:t>
            </w:r>
          </w:p>
          <w:p w:rsidR="00F43E80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E7A5C">
              <w:rPr>
                <w:rFonts w:cs="Times New Roman"/>
                <w:b/>
                <w:sz w:val="22"/>
              </w:rPr>
              <w:t>83 Ft</w:t>
            </w:r>
          </w:p>
        </w:tc>
        <w:tc>
          <w:tcPr>
            <w:tcW w:w="1941" w:type="dxa"/>
          </w:tcPr>
          <w:p w:rsidR="00F43E80" w:rsidRPr="00390C7C" w:rsidRDefault="00F43E80" w:rsidP="00F35D81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90C7C">
              <w:rPr>
                <w:rFonts w:cs="Times New Roman"/>
                <w:sz w:val="22"/>
              </w:rPr>
              <w:t>(100-21)/1,15</w:t>
            </w:r>
          </w:p>
          <w:p w:rsidR="00F43E80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E7A5C">
              <w:rPr>
                <w:rFonts w:cs="Times New Roman"/>
                <w:b/>
                <w:sz w:val="22"/>
              </w:rPr>
              <w:t>69 Ft</w:t>
            </w:r>
          </w:p>
        </w:tc>
      </w:tr>
      <w:tr w:rsidR="00F43E80" w:rsidRPr="00F43E80" w:rsidTr="008939C5">
        <w:trPr>
          <w:jc w:val="center"/>
        </w:trPr>
        <w:tc>
          <w:tcPr>
            <w:tcW w:w="5495" w:type="dxa"/>
            <w:vAlign w:val="center"/>
          </w:tcPr>
          <w:p w:rsidR="00F43E80" w:rsidRPr="00F43E80" w:rsidRDefault="007E7A5C" w:rsidP="00057F6F">
            <w:pPr>
              <w:tabs>
                <w:tab w:val="left" w:pos="6379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7E7A5C">
              <w:rPr>
                <w:rFonts w:cs="Times New Roman"/>
                <w:szCs w:val="24"/>
              </w:rPr>
              <w:t>Járulék (15%)</w:t>
            </w:r>
          </w:p>
        </w:tc>
        <w:tc>
          <w:tcPr>
            <w:tcW w:w="1776" w:type="dxa"/>
          </w:tcPr>
          <w:p w:rsidR="00F43E80" w:rsidRPr="00F43E80" w:rsidRDefault="00F43E80" w:rsidP="00091DEF">
            <w:pPr>
              <w:tabs>
                <w:tab w:val="left" w:pos="637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90C7C">
              <w:rPr>
                <w:rFonts w:cs="Times New Roman"/>
                <w:sz w:val="22"/>
              </w:rPr>
              <w:t>12 Ft</w:t>
            </w:r>
          </w:p>
        </w:tc>
        <w:tc>
          <w:tcPr>
            <w:tcW w:w="1941" w:type="dxa"/>
          </w:tcPr>
          <w:p w:rsidR="00F43E80" w:rsidRPr="00F43E80" w:rsidRDefault="00F43E80" w:rsidP="00091DEF">
            <w:pPr>
              <w:tabs>
                <w:tab w:val="center" w:pos="4536"/>
                <w:tab w:val="left" w:pos="6379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90C7C">
              <w:rPr>
                <w:rFonts w:cs="Times New Roman"/>
                <w:sz w:val="22"/>
              </w:rPr>
              <w:t>10 Ft</w:t>
            </w:r>
          </w:p>
        </w:tc>
      </w:tr>
    </w:tbl>
    <w:p w:rsidR="00010A39" w:rsidRPr="00F43E80" w:rsidRDefault="00010A39" w:rsidP="00F4540B">
      <w:pPr>
        <w:spacing w:after="60"/>
        <w:rPr>
          <w:rFonts w:cs="Times New Roman"/>
          <w:szCs w:val="24"/>
        </w:rPr>
      </w:pPr>
    </w:p>
    <w:p w:rsidR="00A91B85" w:rsidRPr="00F43E80" w:rsidRDefault="007E7A5C" w:rsidP="00F4540B">
      <w:pPr>
        <w:spacing w:after="6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A felszolgálási díj felosztásának egy lehetséges módja, hogy a vendéglátásban közreműködőknél pontrendszert alkalmaznak, amellyel a ledolgozott munkaidőt súlyozva tovább lehet arányosítani a kifizetésre kerülő összeget. </w:t>
      </w:r>
    </w:p>
    <w:p w:rsidR="00A91B85" w:rsidRPr="00F43E80" w:rsidRDefault="007E7A5C" w:rsidP="00A91B85">
      <w:pPr>
        <w:rPr>
          <w:rFonts w:cs="Times New Roman"/>
          <w:i/>
          <w:szCs w:val="24"/>
        </w:rPr>
      </w:pPr>
      <w:r w:rsidRPr="007E7A5C">
        <w:rPr>
          <w:rFonts w:cs="Times New Roman"/>
          <w:i/>
          <w:szCs w:val="24"/>
        </w:rPr>
        <w:t>Egy példa a felszolgálási díj felosztására egy étteremben:</w:t>
      </w:r>
    </w:p>
    <w:p w:rsidR="00A91B85" w:rsidRPr="0079585B" w:rsidRDefault="00A91B85" w:rsidP="00A91B85">
      <w:pPr>
        <w:rPr>
          <w:rFonts w:cs="Times New Roman"/>
          <w:sz w:val="30"/>
          <w:szCs w:val="30"/>
        </w:rPr>
      </w:pPr>
    </w:p>
    <w:p w:rsidR="009B3002" w:rsidRDefault="007E7A5C">
      <w:pPr>
        <w:rPr>
          <w:rFonts w:cs="Times New Roman"/>
          <w:b/>
          <w:bCs/>
          <w:szCs w:val="24"/>
        </w:rPr>
      </w:pPr>
      <w:r w:rsidRPr="007E7A5C">
        <w:rPr>
          <w:rFonts w:cs="Times New Roman"/>
          <w:b/>
          <w:bCs/>
          <w:szCs w:val="24"/>
        </w:rPr>
        <w:t>Étteremben felosztható felszolgálási díj: 350 000 Ft</w:t>
      </w:r>
    </w:p>
    <w:p w:rsidR="00A91B85" w:rsidRPr="0003646E" w:rsidRDefault="00A91B85" w:rsidP="00A91B85">
      <w:pPr>
        <w:rPr>
          <w:rFonts w:cs="Times New Roman"/>
        </w:rPr>
      </w:pPr>
    </w:p>
    <w:tbl>
      <w:tblPr>
        <w:tblW w:w="10088" w:type="dxa"/>
        <w:jc w:val="center"/>
        <w:tblInd w:w="-356" w:type="dxa"/>
        <w:tblCellMar>
          <w:left w:w="70" w:type="dxa"/>
          <w:right w:w="70" w:type="dxa"/>
        </w:tblCellMar>
        <w:tblLook w:val="04A0"/>
      </w:tblPr>
      <w:tblGrid>
        <w:gridCol w:w="1526"/>
        <w:gridCol w:w="1180"/>
        <w:gridCol w:w="1473"/>
        <w:gridCol w:w="1394"/>
        <w:gridCol w:w="1353"/>
        <w:gridCol w:w="1740"/>
        <w:gridCol w:w="1422"/>
      </w:tblGrid>
      <w:tr w:rsidR="00A91B85" w:rsidRPr="0064217C" w:rsidTr="00CD7DF0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03646E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03646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Dolgozó neve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E52716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5271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Szervezeti egység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85" w:rsidRPr="00E52716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E52716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Munkakör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Ténylegesen ledolgozott óra (egyenlőtlen óra)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Szorzószám (pontszám)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Szorzószámmal súlyozott óraszám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1B85" w:rsidRPr="0064217C" w:rsidRDefault="00F4540B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Felosztott felszolgálási </w:t>
            </w:r>
            <w:r w:rsidR="00A91B85"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díj (Ft)</w:t>
            </w:r>
          </w:p>
        </w:tc>
      </w:tr>
      <w:tr w:rsidR="00A91B85" w:rsidRPr="0064217C" w:rsidTr="00CD7DF0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A91B85" w:rsidRPr="0064217C" w:rsidTr="00CD7DF0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A91B85" w:rsidRPr="0064217C" w:rsidTr="00CD7DF0">
        <w:trPr>
          <w:trHeight w:val="2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91B85" w:rsidRPr="0064217C" w:rsidRDefault="00A91B85" w:rsidP="00057F6F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A91B85" w:rsidRPr="0064217C" w:rsidTr="00CD7DF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Üzletvezető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üzletvezető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266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58 517</w:t>
            </w:r>
          </w:p>
        </w:tc>
      </w:tr>
      <w:tr w:rsidR="00A91B85" w:rsidRPr="0064217C" w:rsidTr="00CD7DF0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Üzletvezető 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üzletvezető 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45 757</w:t>
            </w:r>
          </w:p>
        </w:tc>
      </w:tr>
      <w:tr w:rsidR="00A91B85" w:rsidRPr="0064217C" w:rsidTr="00CD7DF0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33 878</w:t>
            </w:r>
          </w:p>
        </w:tc>
      </w:tr>
      <w:tr w:rsidR="00A91B85" w:rsidRPr="0064217C" w:rsidTr="00CD7DF0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204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44 877</w:t>
            </w:r>
          </w:p>
        </w:tc>
      </w:tr>
      <w:tr w:rsidR="00A91B85" w:rsidRPr="0064217C" w:rsidTr="00CD7DF0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42 238</w:t>
            </w:r>
          </w:p>
        </w:tc>
      </w:tr>
      <w:tr w:rsidR="00A91B85" w:rsidRPr="0064217C" w:rsidTr="00CD7DF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38 718</w:t>
            </w:r>
          </w:p>
        </w:tc>
      </w:tr>
      <w:tr w:rsidR="00A91B85" w:rsidRPr="0064217C" w:rsidTr="00CD7DF0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Konyhafőnök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konyhafőnök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247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54 337</w:t>
            </w:r>
          </w:p>
        </w:tc>
      </w:tr>
      <w:tr w:rsidR="00A91B85" w:rsidRPr="0064217C" w:rsidTr="00CD7DF0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Pultos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felszolgáló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color w:val="000000"/>
                <w:szCs w:val="24"/>
                <w:lang w:eastAsia="hu-HU"/>
              </w:rPr>
              <w:t>144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4217C">
              <w:rPr>
                <w:rFonts w:cs="Times New Roman"/>
                <w:color w:val="000000"/>
                <w:szCs w:val="24"/>
              </w:rPr>
              <w:t>31 678</w:t>
            </w:r>
          </w:p>
        </w:tc>
      </w:tr>
      <w:tr w:rsidR="00A91B85" w:rsidRPr="0064217C" w:rsidTr="00CD7DF0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1 330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1591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A91B85" w:rsidRPr="0064217C" w:rsidRDefault="00A91B85" w:rsidP="00057F6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64217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350 000 Ft</w:t>
            </w:r>
          </w:p>
        </w:tc>
      </w:tr>
    </w:tbl>
    <w:p w:rsidR="00F43E80" w:rsidRPr="00F43E80" w:rsidRDefault="00F43E80" w:rsidP="00A91B85">
      <w:pPr>
        <w:rPr>
          <w:rFonts w:cs="Times New Roman"/>
          <w:szCs w:val="24"/>
        </w:rPr>
      </w:pPr>
    </w:p>
    <w:p w:rsidR="00A91B85" w:rsidRPr="00F43E80" w:rsidRDefault="007E7A5C" w:rsidP="00A91B85">
      <w:pPr>
        <w:spacing w:after="120"/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 számítás menete az üzletvezető esetében:</w:t>
      </w:r>
    </w:p>
    <w:p w:rsidR="00A91B85" w:rsidRPr="00F43E80" w:rsidRDefault="007E7A5C" w:rsidP="00A91B85">
      <w:pPr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Szorzószámmal súlyozott óraszám</w:t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  <w:t>= 190 * 1,4 = 266</w:t>
      </w:r>
    </w:p>
    <w:p w:rsidR="00A91B85" w:rsidRPr="00F43E80" w:rsidRDefault="007E7A5C" w:rsidP="00A91B85">
      <w:pPr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Egy szorzószámmal súlyozott óraszámra jutó jutalék </w:t>
      </w:r>
      <w:r w:rsidRPr="007E7A5C">
        <w:rPr>
          <w:rFonts w:cs="Times New Roman"/>
          <w:szCs w:val="24"/>
        </w:rPr>
        <w:tab/>
        <w:t>= 350 000/1 591 = 219,99 Ft</w:t>
      </w:r>
    </w:p>
    <w:p w:rsidR="00F43E80" w:rsidRPr="00F43E80" w:rsidRDefault="007E7A5C" w:rsidP="00A91B85">
      <w:pPr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 xml:space="preserve">Az üzletvezető felszolgálási díja </w:t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</w:r>
      <w:r w:rsidRPr="007E7A5C">
        <w:rPr>
          <w:rFonts w:cs="Times New Roman"/>
          <w:szCs w:val="24"/>
        </w:rPr>
        <w:tab/>
        <w:t>= 219,99 * 266 = 58 517 Ft</w:t>
      </w:r>
    </w:p>
    <w:p w:rsidR="00A91B85" w:rsidRPr="00F43E80" w:rsidRDefault="007E7A5C" w:rsidP="00A91B85">
      <w:pPr>
        <w:rPr>
          <w:rFonts w:cs="Times New Roman"/>
          <w:szCs w:val="24"/>
        </w:rPr>
      </w:pPr>
      <w:r w:rsidRPr="007E7A5C">
        <w:rPr>
          <w:rFonts w:cs="Times New Roman"/>
          <w:szCs w:val="24"/>
        </w:rPr>
        <w:t>A</w:t>
      </w:r>
      <w:r w:rsidR="00F43E80">
        <w:rPr>
          <w:rFonts w:cs="Times New Roman"/>
          <w:szCs w:val="24"/>
        </w:rPr>
        <w:t xml:space="preserve"> </w:t>
      </w:r>
      <w:r w:rsidRPr="007E7A5C">
        <w:rPr>
          <w:rFonts w:cs="Times New Roman"/>
          <w:szCs w:val="24"/>
        </w:rPr>
        <w:t>személyenkénti felszolgálási díj havi szinten történő meghatározása a többi munkakörnél is hasonló módon történik.</w:t>
      </w:r>
    </w:p>
    <w:p w:rsidR="0079585B" w:rsidRPr="0079585B" w:rsidRDefault="0079585B" w:rsidP="00A91B85">
      <w:pPr>
        <w:rPr>
          <w:rFonts w:cs="Times New Roman"/>
          <w:sz w:val="30"/>
          <w:szCs w:val="30"/>
        </w:rPr>
      </w:pPr>
    </w:p>
    <w:p w:rsidR="00B752EC" w:rsidRPr="0079585B" w:rsidRDefault="007E7A5C" w:rsidP="007A1217">
      <w:pPr>
        <w:rPr>
          <w:rFonts w:cs="Times New Roman"/>
          <w:sz w:val="30"/>
          <w:szCs w:val="30"/>
        </w:rPr>
      </w:pPr>
      <w:r w:rsidRPr="007E7A5C">
        <w:rPr>
          <w:rFonts w:cs="Times New Roman"/>
          <w:szCs w:val="24"/>
        </w:rPr>
        <w:t>Kelt: 201</w:t>
      </w:r>
      <w:r w:rsidR="002004C1">
        <w:rPr>
          <w:rFonts w:cs="Times New Roman"/>
          <w:szCs w:val="24"/>
        </w:rPr>
        <w:t>9</w:t>
      </w:r>
      <w:r w:rsidRPr="007E7A5C">
        <w:rPr>
          <w:rFonts w:cs="Times New Roman"/>
          <w:szCs w:val="24"/>
        </w:rPr>
        <w:t xml:space="preserve">. </w:t>
      </w:r>
      <w:r w:rsidR="00566720">
        <w:rPr>
          <w:rFonts w:cs="Times New Roman"/>
          <w:szCs w:val="24"/>
        </w:rPr>
        <w:t>j</w:t>
      </w:r>
      <w:r w:rsidR="002004C1">
        <w:rPr>
          <w:rFonts w:cs="Times New Roman"/>
          <w:szCs w:val="24"/>
        </w:rPr>
        <w:t>únius</w:t>
      </w:r>
      <w:bookmarkStart w:id="0" w:name="_GoBack"/>
      <w:bookmarkEnd w:id="0"/>
      <w:r w:rsidR="00566720">
        <w:rPr>
          <w:rFonts w:cs="Times New Roman"/>
          <w:szCs w:val="24"/>
        </w:rPr>
        <w:t xml:space="preserve"> 6.</w:t>
      </w:r>
    </w:p>
    <w:sectPr w:rsidR="00B752EC" w:rsidRPr="0079585B" w:rsidSect="008939C5">
      <w:headerReference w:type="default" r:id="rId8"/>
      <w:footerReference w:type="default" r:id="rId9"/>
      <w:pgSz w:w="11906" w:h="16838"/>
      <w:pgMar w:top="709" w:right="1247" w:bottom="851" w:left="124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E6" w:rsidRDefault="008E6BE6" w:rsidP="00A91B85">
      <w:r>
        <w:separator/>
      </w:r>
    </w:p>
  </w:endnote>
  <w:endnote w:type="continuationSeparator" w:id="1">
    <w:p w:rsidR="008E6BE6" w:rsidRDefault="008E6BE6" w:rsidP="00A9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85501"/>
      <w:docPartObj>
        <w:docPartGallery w:val="Page Numbers (Bottom of Page)"/>
        <w:docPartUnique/>
      </w:docPartObj>
    </w:sdtPr>
    <w:sdtContent>
      <w:p w:rsidR="00A91B85" w:rsidRDefault="00940403">
        <w:pPr>
          <w:pStyle w:val="llb"/>
          <w:jc w:val="right"/>
        </w:pPr>
        <w:r>
          <w:rPr>
            <w:noProof/>
          </w:rPr>
          <w:fldChar w:fldCharType="begin"/>
        </w:r>
        <w:r w:rsidR="00132D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0E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1B85" w:rsidRDefault="00A91B8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E6" w:rsidRDefault="008E6BE6" w:rsidP="00A91B85">
      <w:r>
        <w:separator/>
      </w:r>
    </w:p>
  </w:footnote>
  <w:footnote w:type="continuationSeparator" w:id="1">
    <w:p w:rsidR="008E6BE6" w:rsidRDefault="008E6BE6" w:rsidP="00A9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0C" w:rsidRDefault="0004360C" w:rsidP="0004360C">
    <w:pPr>
      <w:pStyle w:val="lfej"/>
      <w:jc w:val="center"/>
    </w:pPr>
    <w:r w:rsidRPr="0004360C">
      <w:rPr>
        <w:noProof/>
        <w:lang w:eastAsia="hu-HU"/>
      </w:rPr>
      <w:drawing>
        <wp:inline distT="0" distB="0" distL="0" distR="0">
          <wp:extent cx="575236" cy="771525"/>
          <wp:effectExtent l="19050" t="0" r="0" b="0"/>
          <wp:docPr id="1" name="Kép 1" descr="C:\Users\Károly\Desktop\képek aztalon\Ké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ároly\Desktop\képek aztalon\Kép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36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7DA2"/>
    <w:multiLevelType w:val="hybridMultilevel"/>
    <w:tmpl w:val="0150A07C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E144FCF"/>
    <w:multiLevelType w:val="multilevel"/>
    <w:tmpl w:val="C2E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Kiss Mariann">
    <w15:presenceInfo w15:providerId="None" w15:userId="dr. Kiss Marian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AFA"/>
    <w:rsid w:val="00006726"/>
    <w:rsid w:val="00010A39"/>
    <w:rsid w:val="00011A6B"/>
    <w:rsid w:val="00011CCD"/>
    <w:rsid w:val="000211A4"/>
    <w:rsid w:val="000334C8"/>
    <w:rsid w:val="0003646E"/>
    <w:rsid w:val="0004360C"/>
    <w:rsid w:val="00045874"/>
    <w:rsid w:val="00052FD7"/>
    <w:rsid w:val="00062DE8"/>
    <w:rsid w:val="0006480E"/>
    <w:rsid w:val="00073207"/>
    <w:rsid w:val="00083B12"/>
    <w:rsid w:val="00091DEF"/>
    <w:rsid w:val="000A08C0"/>
    <w:rsid w:val="000B340E"/>
    <w:rsid w:val="000D13EC"/>
    <w:rsid w:val="000E7047"/>
    <w:rsid w:val="000F4D60"/>
    <w:rsid w:val="00132DE7"/>
    <w:rsid w:val="0015620C"/>
    <w:rsid w:val="00164017"/>
    <w:rsid w:val="001B0F28"/>
    <w:rsid w:val="001E08C1"/>
    <w:rsid w:val="001E6227"/>
    <w:rsid w:val="001F34F2"/>
    <w:rsid w:val="002004C1"/>
    <w:rsid w:val="002422E4"/>
    <w:rsid w:val="00245293"/>
    <w:rsid w:val="002476F9"/>
    <w:rsid w:val="002B4D77"/>
    <w:rsid w:val="002B515C"/>
    <w:rsid w:val="002B7885"/>
    <w:rsid w:val="002D4A29"/>
    <w:rsid w:val="002E5A2D"/>
    <w:rsid w:val="00302DCC"/>
    <w:rsid w:val="00303150"/>
    <w:rsid w:val="003625EF"/>
    <w:rsid w:val="003721B5"/>
    <w:rsid w:val="00390C7C"/>
    <w:rsid w:val="003C17B8"/>
    <w:rsid w:val="003E4B1B"/>
    <w:rsid w:val="003E7788"/>
    <w:rsid w:val="00402973"/>
    <w:rsid w:val="00414A55"/>
    <w:rsid w:val="00417CAD"/>
    <w:rsid w:val="00463238"/>
    <w:rsid w:val="00477811"/>
    <w:rsid w:val="00482580"/>
    <w:rsid w:val="00492287"/>
    <w:rsid w:val="004970BE"/>
    <w:rsid w:val="004A2B23"/>
    <w:rsid w:val="004D254C"/>
    <w:rsid w:val="004E637E"/>
    <w:rsid w:val="004F0992"/>
    <w:rsid w:val="004F4663"/>
    <w:rsid w:val="004F500B"/>
    <w:rsid w:val="00500165"/>
    <w:rsid w:val="005305AE"/>
    <w:rsid w:val="005461EF"/>
    <w:rsid w:val="00551940"/>
    <w:rsid w:val="00566720"/>
    <w:rsid w:val="005C0ECB"/>
    <w:rsid w:val="005C4F23"/>
    <w:rsid w:val="005C55E1"/>
    <w:rsid w:val="00631C08"/>
    <w:rsid w:val="0064217C"/>
    <w:rsid w:val="00685D54"/>
    <w:rsid w:val="006B6214"/>
    <w:rsid w:val="006D2BC6"/>
    <w:rsid w:val="006F17B3"/>
    <w:rsid w:val="006F4828"/>
    <w:rsid w:val="007336C8"/>
    <w:rsid w:val="00737E84"/>
    <w:rsid w:val="00741051"/>
    <w:rsid w:val="00790BF3"/>
    <w:rsid w:val="0079585B"/>
    <w:rsid w:val="0079620C"/>
    <w:rsid w:val="007A1217"/>
    <w:rsid w:val="007A7E9D"/>
    <w:rsid w:val="007E0E35"/>
    <w:rsid w:val="007E7A5C"/>
    <w:rsid w:val="008939C5"/>
    <w:rsid w:val="008E36DE"/>
    <w:rsid w:val="008E3BC4"/>
    <w:rsid w:val="008E6BE6"/>
    <w:rsid w:val="00900C4E"/>
    <w:rsid w:val="00904733"/>
    <w:rsid w:val="00904D2D"/>
    <w:rsid w:val="00914273"/>
    <w:rsid w:val="00933584"/>
    <w:rsid w:val="009355DD"/>
    <w:rsid w:val="00940403"/>
    <w:rsid w:val="009517E1"/>
    <w:rsid w:val="00956133"/>
    <w:rsid w:val="00965115"/>
    <w:rsid w:val="00982C65"/>
    <w:rsid w:val="00987C73"/>
    <w:rsid w:val="009A074E"/>
    <w:rsid w:val="009A1AFA"/>
    <w:rsid w:val="009B15AD"/>
    <w:rsid w:val="009B3002"/>
    <w:rsid w:val="009C5271"/>
    <w:rsid w:val="009C788B"/>
    <w:rsid w:val="009D66F2"/>
    <w:rsid w:val="009E445B"/>
    <w:rsid w:val="00A011CF"/>
    <w:rsid w:val="00A17108"/>
    <w:rsid w:val="00A57E81"/>
    <w:rsid w:val="00A62200"/>
    <w:rsid w:val="00A818C4"/>
    <w:rsid w:val="00A902D0"/>
    <w:rsid w:val="00A91B85"/>
    <w:rsid w:val="00A950D5"/>
    <w:rsid w:val="00AD3D8B"/>
    <w:rsid w:val="00AD7CBF"/>
    <w:rsid w:val="00AF4C80"/>
    <w:rsid w:val="00B013F4"/>
    <w:rsid w:val="00B277D5"/>
    <w:rsid w:val="00B43D05"/>
    <w:rsid w:val="00B52991"/>
    <w:rsid w:val="00B56915"/>
    <w:rsid w:val="00B70D94"/>
    <w:rsid w:val="00B752EC"/>
    <w:rsid w:val="00BB702D"/>
    <w:rsid w:val="00BD4415"/>
    <w:rsid w:val="00BE4AFA"/>
    <w:rsid w:val="00BF2C34"/>
    <w:rsid w:val="00C135A9"/>
    <w:rsid w:val="00C2076B"/>
    <w:rsid w:val="00C95A14"/>
    <w:rsid w:val="00CA1B31"/>
    <w:rsid w:val="00CD7DF0"/>
    <w:rsid w:val="00D229E6"/>
    <w:rsid w:val="00D60829"/>
    <w:rsid w:val="00D76C5E"/>
    <w:rsid w:val="00D910AF"/>
    <w:rsid w:val="00DA1ADC"/>
    <w:rsid w:val="00DB10DB"/>
    <w:rsid w:val="00DC0300"/>
    <w:rsid w:val="00DD0B75"/>
    <w:rsid w:val="00DE328B"/>
    <w:rsid w:val="00DE5EB8"/>
    <w:rsid w:val="00E01EFA"/>
    <w:rsid w:val="00E03C65"/>
    <w:rsid w:val="00E07055"/>
    <w:rsid w:val="00E52716"/>
    <w:rsid w:val="00EA7126"/>
    <w:rsid w:val="00EB7454"/>
    <w:rsid w:val="00EC0882"/>
    <w:rsid w:val="00EC67E0"/>
    <w:rsid w:val="00ED2446"/>
    <w:rsid w:val="00EF2578"/>
    <w:rsid w:val="00F00363"/>
    <w:rsid w:val="00F36CE1"/>
    <w:rsid w:val="00F43E80"/>
    <w:rsid w:val="00F4540B"/>
    <w:rsid w:val="00F603C3"/>
    <w:rsid w:val="00F6229A"/>
    <w:rsid w:val="00F82FB5"/>
    <w:rsid w:val="00F9299E"/>
    <w:rsid w:val="00FC0BEE"/>
    <w:rsid w:val="00FC7930"/>
    <w:rsid w:val="00FE5F15"/>
    <w:rsid w:val="00FE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D54"/>
  </w:style>
  <w:style w:type="paragraph" w:styleId="Cmsor1">
    <w:name w:val="heading 1"/>
    <w:basedOn w:val="Norml"/>
    <w:link w:val="Cmsor1Char"/>
    <w:uiPriority w:val="9"/>
    <w:qFormat/>
    <w:rsid w:val="007A121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2E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A1217"/>
    <w:rPr>
      <w:rFonts w:eastAsia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7A12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A91B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91B85"/>
  </w:style>
  <w:style w:type="paragraph" w:styleId="llb">
    <w:name w:val="footer"/>
    <w:basedOn w:val="Norml"/>
    <w:link w:val="llbChar"/>
    <w:uiPriority w:val="99"/>
    <w:unhideWhenUsed/>
    <w:rsid w:val="00A91B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B85"/>
  </w:style>
  <w:style w:type="paragraph" w:styleId="Buborkszveg">
    <w:name w:val="Balloon Text"/>
    <w:basedOn w:val="Norml"/>
    <w:link w:val="BuborkszvegChar"/>
    <w:uiPriority w:val="99"/>
    <w:semiHidden/>
    <w:unhideWhenUsed/>
    <w:rsid w:val="000436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B924-82CF-4A44-9952-BF910D35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Károly</dc:creator>
  <cp:lastModifiedBy>Emoke</cp:lastModifiedBy>
  <cp:revision>2</cp:revision>
  <cp:lastPrinted>2018-10-10T08:02:00Z</cp:lastPrinted>
  <dcterms:created xsi:type="dcterms:W3CDTF">2019-06-11T13:38:00Z</dcterms:created>
  <dcterms:modified xsi:type="dcterms:W3CDTF">2019-06-11T13:38:00Z</dcterms:modified>
</cp:coreProperties>
</file>